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ПРОИЗВОДСТВЕННАЯ ПРАКТИКА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НЕДЕЛЯ 3: ЦЕНТР СЕРТИФИКАЦИИ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Акыбаева Г.С.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Третья неделя практики посвящена методологическим и организационно-правовым аспектам сертификации программного обеспечения. В центре внимания находится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криптографический модуль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, как один из наиболее критичных компонентов современных систем защиты информации.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Деятельность распределена по трем взаимосвязанным этапам: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Аналитический этап (Задание 7):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Исследование глобальных подходов к стандартизации и безопасности (Common Criteria, FIPS 140-3).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Методологический этап (Задание 8):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Создание ведомственного нормативного документа — Методики оценки безопасности криптографического модуля.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Проектный этап (Задание 9):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Моделирование архитектуры и бизнес-процессов идеальной испытательной лаборатории.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7. ИССЛЕДОВАНИЕ КРИПТОГРАФИЧЕСКИХ МЕХАНИЗМОВ ПРОГРАММНОГО ПРОДУКТА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Результат: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Сравнительный анализ международных систем оценки безопасности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рамках выполнения задач третьей недели производственной практики был проведён сравнительный анализ ключевых международных систем, стандартов и нормативных фреймворков, регламентирующих оценку безопасности информационных технологий и программных продуктов. Основное внимание в ходе исследования было сфокусировано на специфике сертификации высокорисовых компонентов, в частности - средств криптографической защиты информации (СКЗИ) и модулей, использующих элементы искусственного интеллекта. 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118"/>
        <w:gridCol w:w="1355"/>
        <w:gridCol w:w="2647"/>
        <w:gridCol w:w="1894"/>
        <w:gridCol w:w="2013"/>
      </w:tblGrid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Критерий сравнения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Common Criteria (ISO/IEC 15408)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FIPS 140-3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European Cybersecurity Certification Framework (EUCC)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AI Security Certification (ISO/IEC 42001 / EU AI Act)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Область применения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Любые ИТ-продукты (ОС, СУБД, СЗИ)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Исключительно криптографические модули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ИКТ-продукты, услуги и процессы в границах ЕС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Системы ИИ и машинного обучения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Уровень доверия / Оценки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EAL1 – EAL7 (Уровни оценочной уверенности)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Security Level 1 – Level 4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Основной (Substantial), Высокий (High)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Классификация по уровням риска (от минимального до неприемлемого)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Методология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Профиль защиты (PP) и Задание по безопасности (ST)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Строгие технологические требования к аппаратному/ПО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Гармонизация национальных схем стран ЕС (SOG-IS)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Оценка предвзятости, объяснимости (XAI), устойчивости к состязательным атакам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Специфика проверки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Анализ исходного кода, уязвимостей, процессов разработки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Тестирование физической защиты, генерации ключей, нулевых состояний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Кросс-граничное признание сертификатов внутри Европы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Аудит жизненного цикла данных и моделей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Вывод эксперта: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Проведённый анализ в очередной раз показывает, что для комплексной оценки такого объекта испытаний, как криптографический модуль, общих критериев стандарта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 Common Criteria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зачастую недостаточно. Наиболее жёсткий и релевантный контроль технологических параметров обеспечивается специализированным стандартом FIPS 140-3. Полученные аналитические данные легли в основу разработки собственной Методики оценки безопасности в следующем задании.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8. РАЗРАБОТКА МЕТОДИКИ ОЦЕНКИ БЕЗОПАСНОСТИ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Объект безопасности: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Криптографический модуль (аппаратный/программный)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Результат: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Проект документа «Методика оценки безопасности»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МЕТОДИКА ОЦЕНКИ БЕЗОПАСНОСТИ КРИПТОГРАФИЧЕСКОГО МОДУЛЯ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8.1. Общие положения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Данная методика определяет порядок, методы и критерии оценки соответствия криптографического модуля требованиям информационной безопасности на основе стандартов ГОСТ Р 34.12-2015 / FIPS 140-3.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8.2. Объекты испытаний и границы оценки 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Спецификация криптографического модуля (архитектура, интерфейсы).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Механизмы генерации, распределения, сбора, обработки, хранения и устранения ключевой информации.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Исполняемый код и физические/логические границы модуля.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8.3. Перечень проверяемых показателей и методы оценки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Проверка спецификации портов и интерфейсов: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Анализ документации и тестирование логического подразделения потоков данных (данные, управление, статус, питание).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Проверка ролей и аутентификации: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реализации роли Администратора (Crypto Officer) и роли Пользователя. Метод: попытка несанкционированного доступа без авторизации.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Оценка безопасности жизненного цикла ключей: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использования криптостойкого ГПСЧ (согласно ISO/IEC 18031).  Метод: статистические тесты NIST STS на случайность последовательностей.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Контроль нулевого состояния: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процедуры экстренного устранения ключей при компрометации. Метод: имитация атаки и проверка перезаписи областей памяти нулевыми байтами.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8.4. Критерии успешностей прохождения испытаний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Модуль считается прошедшим оценку, если по всем пунктам чек-листа зафиксировано отсутствие критических уязвимостей и полное соответствие заявленному уровню защищённости. 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9. ИТОГОВЫЙ ПРОЕКТ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Тема: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>«Разработка модели испытательной лаборатории»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9.1. Область аккредитации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Испытания программных, программно-аппаратных средств защиты информации, средств криптографической защиты данных (СКЗИ), систем аутентификации и контроля целостности на соответствие требованиям государственных и международных стандартов.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9.2. Перечень проводимых испытаний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Анализ исходного кода на наличие программных закладок и недекларированных возможностей (НДВ).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Криптографический анализ и тестирование реализации шифрования.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Тестирование функций защиты от проведения атак (инъекции, взлом, DDoS-атака, обход авторизации).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9.3. Необходимое оборудование и программные средства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Аппаратные: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Изолированные испытательные стенды (серверы аутентификации), криптографические аппаратные токены, генераторы помех (для аппаратных тестов).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Программные средства: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Статические анализаторы кода (SAST), фаззинг-тестировщики (Defensics), программные комплексы анализа криптографических протоколов (Wireshark, Burp Suite Pro).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9.4. Состав экспертов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Руководитель лаборатории (управление, аттестация).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Ведущий эксперт по криптографическому анализу.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Инженер-тестировщик (эксперт по уязвимости ПО).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Специалист по качеству и ведению испытательных досье.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9.5. Порядок ведения испытаний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Прием заявки и формирование испытательного досье.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Разработка программы и методики испытаний.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Проведение инструментальных проверок (запуск тестов).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Фиксация результатов в протоколах.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Выдача экспертного заключения.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9.6. Структура отчётности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Включает в себя: 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Вводную часть (карточка продукта),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Протоколы по каждому виду тестов,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Ведомость несоответствий (если найдены ошибки в испытании),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Заключение о соответствии.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выполнения задач итогового проекта третьей недели была успешно разработана комплексная организационно-техническая модель испытательной лаборатории, специализирующейся на оценке безопасности программных и программно-аппаратных средств защиты информации, включая СКЗИ.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На основе спроектированной структуры, испытаний, проведенного анализа и выполненных работ, можно сделать следующие выводы: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Валидность области аккредитации: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Сформированная область аккредитации (п. 9.1) и перечень испытаний  (п. 9.2) полностью закрывают современные необходимости рынка в виде защищённого ПО. Особый упор на поиск недекларированных возможностей (НДВ), крипто-анализ и стресс-тестирование против актуальных векторов (DDoS, инъекции) обеспечивает лаборатории высокую конкурентоспособность и соответствие государственным стандартам.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Техническая и кадровая синергия: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Выбранный комплекс программно-аппаратных средств (п. 9.3) - от изолированных стендов до передовых SAST и фаззинг-тестировщиков (Defensics, Burp Suite Pro) - оптимально сбалансирован под кадровый состав лаборатории (п. 9.4). Наличие узкоспециализированных экспертов гарантирует максимальную точность инструментальных проверок и анализов, а офицер по качеству исключает риски методологических ошибок.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Регламентация процессов: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Предложенный пошаговый порядок ведения испытаний (п. 9.5) выстраивает прозрачный сквозной конвейер: от фиксации заявки до формирования итогового испытательного досье. Чётко структурированная отчётность (п. 9.6), включающая ведомость несоответствий и финальное заключение, обеспечивает юридическую силу и прозрачность итоговых результатов для Центра сертификации и конечного заказчика.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Итоговый вердикт: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Спроектированная модель испытательной лаборатории представляет собой функционально полную, автономную и технически оснащённую единицу инфраструктуры информационной безопасности. Она полностью готова к практическому развёртыванию, симуляции реальных испытательных процессов и эффективному формированию кадрового резерва в области сертификации высокорискового программного обеспечения.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Нормативно-правовые акты и государственные стандарты: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ИСО/МЭК 15408-1-2012.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модель. – М.: Стандартинформ, 2013.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ГОСТ Р 34.12-2015.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Информационная технология. Криптографическая защита информации. Блочные шифры. – М.: Стандартинформ, 2015.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34.13-2015.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Информационная технология. Криптографическая защита информации. Режимы работы блочных шифров. – М.: Стандартинформ, 2015.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ИСО/МЭК 25051-2014.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Информационные технологии. Системная и программная инженерия. Требования к качеству готового программного продукта (RUSQUAR) и инструкции по тестированию. – М.: Стандартинформ, 2015.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Международные стандарты и методологии: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5.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ISO/IEC 25010:2011. Systems and software engineering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— Systems and software Quality Requirements and Evaluation (Square) — Quality models. – International Organization for Standardization, 2011.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6.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FIPS PUB 140-3. Security Requirements for Cryptographic Modules.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National Institute of Standards and Technology (NIST), 2019.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7.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Regulation (EU) 2019/881 of the European Parliament and of the Council (Cybersecurity Act / EUCC framework).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– Official Journal of the European Union, 2019.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8.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NIST Special Publication 800-22 Rev. 1a. A Statistical Test Suite for Random and Pseudorandom Number Generators for Cryptographic Applications.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NIST, 2010.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Учебная литература, монографии и технические руководства: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9.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Бабаш, А. В., Шанкин, Г. П. Криптография: Учебное пособие.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М.: СОЛОН-Пресс, 2021. – 512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10.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Шнайер, Б. Прикладная криптография. Протоколы, алгоритмы, исходные тексты на языке Си.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– М.: Триумф, 2019. – 816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11.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Хопкинс, К. Разработка систем на Python и работа с неструктурированными данными в NoSQL.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СПб.: БХВ-Петербург, 2023. – 384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12.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MongoDB Inc. MongoDB Professional Documentation.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Официальное руководство разработчика и администратора СУБД MongoDB. [Электронный ресурс]. URL: </w:t>
      </w:r>
      <w:hyperlink r:id="rId4">
        <w:r>
          <w:rPr>
            <w:rFonts w:ascii="Times New Roman" w:hAnsi="Times New Roman" w:cs="Times New Roman" w:eastAsia="Times New Roman"/>
            <w:color w:val="1a62ff"/>
            <w:sz w:val="30"/>
            <w:szCs w:val="30"/>
            <w:u w:val="single" w:color="1a62ff"/>
          </w:rPr>
          <w:t>https://www.mongodb.com/docs/</w:t>
        </w:r>
      </w:hyperlink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(дата обращения: 29.06.2026).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13.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OWASP Top 10:2021.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Руководство по безопасности веб-приложений и поиску уязвимостей в исходном коде. [Электронный ресурс]. URL: </w:t>
      </w:r>
      <w:hyperlink r:id="rId5">
        <w:r>
          <w:rPr>
            <w:rFonts w:ascii="Times New Roman" w:hAnsi="Times New Roman" w:cs="Times New Roman" w:eastAsia="Times New Roman"/>
            <w:color w:val="1a62ff"/>
            <w:sz w:val="30"/>
            <w:szCs w:val="30"/>
            <w:u w:val="single" w:color="1a62ff"/>
          </w:rPr>
          <w:t>https://owasp.org/www-project-top-ten/</w:t>
        </w:r>
      </w:hyperlink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(дата обращения: 29.06.2026).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https://www.mongodb.com/docs/" TargetMode="External" Type="http://schemas.openxmlformats.org/officeDocument/2006/relationships/hyperlink"/><Relationship Id="rId5" Target="https://owasp.org/www-project-top-ten/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2026-06-29T13:32:46Z</dcterms:created>
  <dc:creator>Apache POI</dc:creator>
  <dc:title>НЕДЕЛЯ 3: ЦЕНТР СЕРТИФИКАЦИИ</dc:title>
</cp:coreProperties>
</file>