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ТЕХНИЧЕСКИЙ ОТЧЕТ: РАБОТА С НЕСТРУКТУРИРОВАННЫМИ ДАННЫМИ В СУБД MONGODB (MONGOSH, NOSQL)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НЕДЕЛЯ 3: ЦЕНТР СЕРТИФИКАЦИИ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Дисциплина / Направление: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Big Data Analysis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center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Контекст: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Автоматизация отчетности и анализ логов информационной безопасности испытательной лаборатории (Задание 9)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Выполнил: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Студент группы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BDA-2407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>Тулентай Р.Е.</w:t>
      </w:r>
      <w:r>
        <w:rPr>
          <w:rFonts w:ascii="Times New Roman" w:hAnsi="Times New Roman" w:cs="Times New Roman" w:eastAsia="Times New Roman"/>
          <w:color w:val="000000"/>
          <w:sz w:val="36"/>
          <w:szCs w:val="36"/>
        </w:rPr>
        <w:t xml:space="preserve"> __________________ (подпись)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Open Sans" w:hAnsi="Open Sans" w:cs="Open Sans" w:eastAsia="Open Sans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6"/>
          <w:szCs w:val="36"/>
        </w:rPr>
        <w:t xml:space="preserve">Введение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рамках разработки модели испытательной лаборатории (п. 9.5 , 9.6) была спроектирована документоориентированная структура базы данных на базе NoSQL СУБД MongoDB. В сравнении с реляционными системами базами данных, использование форматов BSON и JSON позволяет гибко хранить испытательные досье с динамическими вложенными массивами тест-кейсов.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Ниже приведён последовательный протокол выполнения 7 ключевых манипуляций в интерактивной консоли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mongosh,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направлнных на выборку, фильтрацию и агрегацию результатов аудита криптографических модулей и компонентов ИБ.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ХОД РАБОТЫ И СЕССИЯ МАНИПУЛЯЦИЙ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1.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Создание JSON-файла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Ссылаясь на обязательные требования к отчётности испытательной лаборатории (п. 9.6), структура цифрового досье должна быть гибкой и содержать как метаданные аудита, так и массив атомарных логов безопасности.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итоговом JSON-файле обязательно должны присутствовать следующие логические блоки: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protocol_id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уникальный текстовый идентификатор протокола испытаний.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date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дата фиксации результатов контроля.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metadata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сведения об исполнителе (ФИО студента, академическая группа) и проверяющей организации.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compliance_framework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массив нормативных документов и стандартов, на соответствие которым проводятся тесты, включая и СТ РК 1073.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numPr>
          <w:ilvl w:val="0"/>
          <w:numId w:val="1"/>
        </w:numPr>
        <w:spacing w:after="0" w:before="0" w:line="336" w:lineRule="auto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test_cases -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вложенный массив из </w:t>
      </w: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>5 независимых тест-кейсов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(TC-01 – TC-05), описывающих проверку компонентов ИБ (аутентификация, маскирование данных, криптоанализ, анализ кода на НДВ и защита от инъекций/DDoS). У каждого тест-кейса должны быть параметры: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case_id, component, action, status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и числовая метрика времени выполнения execution_time_ms для последующей Big Data агрегации.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Открываем Visual Studio Code, сохраняем файл и озаглавляем его таким образом: audit_protocol.json. Далее, пишем следующий код: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0" name="Drawing 0" descr="d9256236412c7071bb4268f40e8d439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9256236412c7071bb4268f40e8d4398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1215909"/>
            <wp:docPr id="1" name="Drawing 1" descr="ec18757a547bb257d4c1034d215367f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c18757a547bb257d4c1034d215367ff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0" t="62302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15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Открываем MongoDB Compass, нажимаем на плюсик, чтобы создать коллекцию.
</w:t>
      </w:r>
    </w:p>
    <w:p>
      <w:pPr>
        <w:spacing w:after="120" w:before="120"/>
        <w:jc w:val="center"/>
      </w:pPr>
      <w:r>
        <w:drawing>
          <wp:inline>
            <wp:extent cx="5734050" cy="3028295"/>
            <wp:docPr id="2" name="Drawing 2" descr="873c7d9bba225e744593d4fea141aaf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873c7d9bba225e744593d4fea141aaf6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28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Далее озаглавляем эту самую коллекцию таким образом: protocols, сохраняем и подключаемся к базе данных, нажав на зелёную кнопку: Save &amp; Connect.
</w:t>
      </w:r>
    </w:p>
    <w:p>
      <w:pPr>
        <w:spacing w:after="120" w:before="120"/>
        <w:jc w:val="center"/>
      </w:pPr>
      <w:r>
        <w:drawing>
          <wp:inline>
            <wp:extent cx="5734050" cy="2871959"/>
            <wp:docPr id="3" name="Drawing 3" descr="b462fdb7534626398e176c4c77589b7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b462fdb7534626398e176c4c77589b72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719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5734050" cy="4316290"/>
            <wp:docPr id="4" name="Drawing 4" descr="cd4288be6bfe7038c2b41728d0a7d8b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d4288be6bfe7038c2b41728d0a7d8b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Направляем курсор внутри коллекции, на ещё один плюсик.
</w:t>
      </w:r>
    </w:p>
    <w:p>
      <w:pPr>
        <w:spacing w:after="120" w:before="120"/>
        <w:jc w:val="center"/>
      </w:pPr>
      <w:r>
        <w:drawing>
          <wp:inline>
            <wp:extent cx="5734050" cy="2128766"/>
            <wp:docPr id="5" name="Drawing 5" descr="c6daacfcacde8bcee268c48464a364f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6daacfcacde8bcee268c48464a364fa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28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Далее, озаглавляем название базы данных и коллекции таким образом:
</w:t>
      </w:r>
    </w:p>
    <w:p>
      <w:pPr>
        <w:spacing w:after="120" w:before="120"/>
        <w:jc w:val="center"/>
      </w:pPr>
      <w:r>
        <w:drawing>
          <wp:inline>
            <wp:extent cx="5734050" cy="4316290"/>
            <wp:docPr id="6" name="Drawing 6" descr="085d7f09ac7faa022ab17acb47362f4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085d7f09ac7faa022ab17acb47362f46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31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Внутри БД tlab_audit_db, нажимаем на плюсик, чтобы создать коллекцию и озаглавляем, как раньше, нажимаем опять на зелёную кнопку Create collection.
</w:t>
      </w:r>
    </w:p>
    <w:p>
      <w:pPr>
        <w:spacing w:after="120" w:before="120"/>
        <w:jc w:val="center"/>
      </w:pPr>
      <w:r>
        <w:drawing>
          <wp:inline>
            <wp:extent cx="5734050" cy="2798933"/>
            <wp:docPr id="7" name="Drawing 7" descr="b44855857c652b1a96050ecbca71d92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44855857c652b1a96050ecbca71d92a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7989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628640"/>
            <wp:docPr id="8" name="Drawing 8" descr="317fd94e0bd55b1ad08b743e38be3af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317fd94e0bd55b1ad08b743e38be3afa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62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В следующем этапе создания, нажимаем на зелёную кнопку Add Data, нажимаем на первый вариант, чтобы импортировать файлы: Import JSON or CSV file, далее, заходим в диск Е и выбираем созданный в VS Code файл.
</w:t>
      </w:r>
    </w:p>
    <w:p>
      <w:pPr>
        <w:spacing w:after="120" w:before="120"/>
        <w:jc w:val="center"/>
      </w:pPr>
      <w:r>
        <w:drawing>
          <wp:inline>
            <wp:extent cx="5734050" cy="2626911"/>
            <wp:docPr id="9" name="Drawing 9" descr="706308e36d82027e24cbfb3e7fd10fe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706308e36d82027e24cbfb3e7fd10fe8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626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4511839"/>
            <wp:docPr id="10" name="Drawing 10" descr="c3e3cc88a1c6060cf9b7dfa33c9b0fb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3e3cc88a1c6060cf9b7dfa33c9b0fba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5118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Данные успешно загружены.
</w:t>
      </w:r>
    </w:p>
    <w:p>
      <w:pPr>
        <w:spacing w:after="120" w:before="120"/>
        <w:jc w:val="center"/>
      </w:pPr>
      <w:r>
        <w:drawing>
          <wp:inline>
            <wp:extent cx="5734050" cy="3225403"/>
            <wp:docPr id="11" name="Drawing 11" descr="ad249d32dac15cac86ed562d9a85bd9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d249d32dac15cac86ed562d9a85bd9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3225403"/>
            <wp:docPr id="12" name="Drawing 12" descr="6b9e6cb623cebb721b8f0ea2334be79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6b9e6cb623cebb721b8f0ea2334be794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2.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Инициализация и выбор рабочей среды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Первоочередная технологическая команда, обязательная для переключения контекста СУБД на целевую логическую базу данных, в которой развёрнута коллекция protocols. Если база данных не существовала, MongoDB создаст её автоматически при первой записи.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Следующая команда отвечает за подключение к БД:
</w:t>
      </w:r>
    </w:p>
    <w:p>
      <w:pPr>
        <w:spacing w:after="120" w:before="120"/>
        <w:jc w:val="center"/>
      </w:pPr>
      <w:r>
        <w:drawing>
          <wp:inline>
            <wp:extent cx="3189482" cy="252824"/>
            <wp:docPr id="13" name="Drawing 13" descr="ef36a0887c2376017e56e1ba4f29c59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ef36a0887c2376017e56e1ba4f29c595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189482" cy="2528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84756" cy="297229"/>
            <wp:docPr id="14" name="Drawing 14" descr="4db7a998c1268e75a5dfaee10c34db9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4db7a998c1268e75a5dfaee10c34db94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84756" cy="2972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Контекст терминала успешно переключен. Все последующие операции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db.collection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будут выполняться строго в рамках изолированного пространства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tlab_audit_db.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3.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Инициализация и выбор рабочей среды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Выполнение операции чтения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 (Read)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для верификации общей успешности прохождения испытаний. Запрос ищет любые документы, в которых вложенные элементы массива содержат статус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“Passed”.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Метод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.pretty()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применяется для приведения сырого BSON-вывода к читаемому структурированному виду.
</w:t>
      </w:r>
    </w:p>
    <w:p>
      <w:pPr>
        <w:spacing w:after="120" w:before="120"/>
        <w:jc w:val="center"/>
      </w:pPr>
      <w:r>
        <w:drawing>
          <wp:inline>
            <wp:extent cx="5734050" cy="200974"/>
            <wp:docPr id="15" name="Drawing 15" descr="6313e69796024399b10db3eaf32a71c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6313e69796024399b10db3eaf32a71c7.png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009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 
</w:t>
      </w:r>
    </w:p>
    <w:p>
      <w:pPr>
        <w:spacing w:after="120" w:before="120"/>
        <w:jc w:val="center"/>
      </w:pPr>
      <w:r>
        <w:drawing>
          <wp:inline>
            <wp:extent cx="4792025" cy="5955520"/>
            <wp:docPr id="16" name="Drawing 16" descr="9f6a01c23439242de030b0d0128cb63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9f6a01c23439242de030b0d0128cb634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792025" cy="5955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База данных успешно извлекла целостный документ. Поиск подтверждает, что все 5 тест-кейсов зафиксированы СУБД со статусом успешного завершения, что соответствует регламенту ведения испытательных досье.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4.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Фильтрация высоконагруженных компонентов по нижней границе времени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Применение условного оператора сравнения $gte (Greater Than or Equal — "больше или равно"). Цель манипуляции — выявить «тяжелые» испытания, время выполнения которых заняло 15 миллисекунд и более, для последующей оптимизации криптографических алгоритмов.
</w:t>
      </w:r>
    </w:p>
    <w:p>
      <w:pPr>
        <w:spacing w:after="120" w:before="120"/>
        <w:jc w:val="center"/>
      </w:pPr>
      <w:r>
        <w:drawing>
          <wp:anchor simplePos="false" relativeHeight="0" behindDoc="false" locked="false" layoutInCell="true" allowOverlap="true">
            <wp:simplePos x="0" y="0"/>
            <wp:positionH relativeFrom="page">
              <wp:posOffset>0</wp:posOffset>
            </wp:positionH>
            <wp:positionV relativeFrom="paragraph">
              <wp:posOffset>0</wp:posOffset>
            </wp:positionV>
            <wp:extent cx="7562850" cy="160343"/>
            <wp:wrapTopAndBottom/>
            <wp:docPr id="17" name="Drawing 17" descr="da892fe4f0fe153427c896ddee38d795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a892fe4f0fe153427c896ddee38d795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7562850" cy="1603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
</w:t>
      </w:r>
    </w:p>
    <w:p>
      <w:pPr>
        <w:spacing w:after="120" w:before="120"/>
        <w:jc w:val="center"/>
      </w:pPr>
      <w:r>
        <w:drawing>
          <wp:inline>
            <wp:extent cx="4218138" cy="5180783"/>
            <wp:docPr id="18" name="Drawing 18" descr="d37b3dfeda25f516b0fd71f901290ca9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37b3dfeda25f516b0fd71f901290ca9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4218138" cy="51807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Фильтрация успешно отработала. Запрос позволяет инженерам-тестировщикам мгновенно локализовать модули (например, статический анализ кода SAST на 22 ms), требующие наибольших вычислительных ресурсов стенда.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5.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Фильтрация быстродействующих модулей по верхней границе времени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Применение условного оператора сравнения $lte (Less Than or Equal — "меньше или равно"). Команда осуществляет поиск документов, содержащих тесты с минимальными задержками времени (до 12 мс включительно).
</w:t>
      </w:r>
    </w:p>
    <w:p>
      <w:pPr>
        <w:spacing w:after="120" w:before="120"/>
        <w:jc w:val="center"/>
      </w:pPr>
      <w:r>
        <w:drawing>
          <wp:inline>
            <wp:extent cx="5734050" cy="166108"/>
            <wp:docPr id="19" name="Drawing 19" descr="455fe5b589206c1c132db8b69a897a1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455fe5b589206c1c132db8b69a897a18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66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 
</w:t>
      </w:r>
    </w:p>
    <w:p>
      <w:pPr>
        <w:spacing w:after="120" w:before="120"/>
        <w:jc w:val="center"/>
      </w:pPr>
      <w:r>
        <w:drawing>
          <wp:inline>
            <wp:extent cx="5734050" cy="6665927"/>
            <wp:docPr id="20" name="Drawing 20" descr="a616be59065e469dfe6d6e545a28124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616be59065e469dfe6d6e545a28124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666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Поиск подтвердил наличие легковесных операций. В данную категорию попал процесс маскирования персональных данных (8 ms), реализованный в рамках СТ РК 1073, что доказывает высокую производительность разработанного алгоритма маскирования.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6.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Ограничение проекции полей (Проекция данных)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Оптимизация сетевого трафика и читаемости отчетов с помощью механизма проекции (Projection). Передача второго аргумента в метод .find() позволяет жестко указать СУБД, какие поля нужно вернуть на клиентскую сторону (1), а какие принудительно скрыть (0). 
</w:t>
      </w:r>
    </w:p>
    <w:p>
      <w:pPr>
        <w:spacing w:after="120" w:before="120"/>
        <w:jc w:val="center"/>
      </w:pPr>
      <w:r>
        <w:drawing>
          <wp:inline>
            <wp:extent cx="5734050" cy="121284"/>
            <wp:docPr id="21" name="Drawing 21" descr="877e862274357ff1817c99f640830cd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877e862274357ff1817c99f640830cd1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1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
</w:t>
      </w:r>
    </w:p>
    <w:p>
      <w:pPr>
        <w:spacing w:after="120" w:before="120"/>
        <w:jc w:val="center"/>
      </w:pPr>
      <w:r>
        <w:drawing>
          <wp:inline>
            <wp:extent cx="5293981" cy="6414568"/>
            <wp:docPr id="22" name="Drawing 22" descr="5aab56cf6921a17490262f1d733aade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5aab56cf6921a17490262f1d733aadef.png"/>
                    <pic:cNvPicPr>
                      <a:picLocks noChangeAspect="true"/>
                    </pic:cNvPicPr>
                  </pic:nvPicPr>
                  <pic:blipFill>
                    <a:blip r:embed="rId25"/>
                    <a:srcRect l="0" t="664" r="0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293981" cy="64145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Из вывода полностью исключены системный ключ СУБД _id и блок нормативных стандартов. Это позволяет формировать специализированные лаконичные выгрузки исключительно с фамилией проверяющего и результатами тестов для ведомостей.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7.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Развертывание вложенных массивов логов (Стадия агрегации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$unwind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Первая продвинутая аналитическая стадия анализа больших данных. Конвейерная операция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$unwind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денормализует документ: она берет один исходный протокол и расщепляет его на 5 отдельных независимых документов СУБД — по одному на каждый внутренний элемент массива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test_cases.
</w:t>
      </w:r>
    </w:p>
    <w:p>
      <w:pPr>
        <w:spacing w:after="120" w:before="120"/>
        <w:jc w:val="center"/>
      </w:pPr>
      <w:r>
        <w:drawing>
          <wp:inline>
            <wp:extent cx="5734050" cy="123103"/>
            <wp:docPr id="23" name="Drawing 23" descr="6b8696d12095c40aa0457e1b25b1443c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6b8696d12095c40aa0457e1b25b1443c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23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
</w:t>
      </w:r>
    </w:p>
    <w:p>
      <w:pPr>
        <w:spacing w:after="120" w:before="120"/>
        <w:jc w:val="center"/>
      </w:pPr>
      <w:r>
        <w:drawing>
          <wp:inline>
            <wp:extent cx="5734050" cy="5941504"/>
            <wp:docPr id="24" name="Drawing 24" descr="b183802cf9160137a2ec8870cbd425fe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b183802cf9160137a2ec8870cbd425fe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941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Структура успешно перестроена из древовидной в плоскую линейную. Теперь каждый тест-кейс стал самостоятельным объектом анализа, что критически важно для построения агрегационных отчетов, вычисления средних значений и группировок.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Шаг 8.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Полноценный сквозной аналитический конвейер (Pipeline агрегации)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Финальная комплексная операция обработки больших данных. В рамках одного конвейера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 db.protocols.aggregate([ ... ]) 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последовательно объединяются три мощных инструмента NoSQL: развертывание (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$unwind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), фильтрация атомарных логов по критерию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$\ge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12$ мс (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$match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) и финальное переформатирование структуры и названий полей (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$project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) для генерации итогового протокола.
</w:t>
      </w:r>
    </w:p>
    <w:p>
      <w:pPr>
        <w:spacing w:after="120" w:before="120"/>
        <w:jc w:val="center"/>
      </w:pPr>
      <w:r>
        <w:drawing>
          <wp:inline>
            <wp:extent cx="5734050" cy="2812066"/>
            <wp:docPr id="25" name="Drawing 25" descr="160353450223a2dd8254d849fbb6eaf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160353450223a2dd8254d849fbb6eaf8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81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Результат:
</w:t>
      </w:r>
    </w:p>
    <w:p>
      <w:pPr>
        <w:spacing w:after="120" w:before="120"/>
        <w:jc w:val="center"/>
      </w:pPr>
      <w:r>
        <w:drawing>
          <wp:inline>
            <wp:extent cx="5330872" cy="6347456"/>
            <wp:docPr id="26" name="Drawing 26" descr="2550ffea3bbe2cdd4e43a1a90612a0b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2550ffea3bbe2cdd4e43a1a90612a0b6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330872" cy="63474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Сконструированный Pipeline отработал безупречно. Компонент маскирования данных (8 ms) был автоматически отсечен на стадии фильтрации, а стадия проекции преобразовала вложенные структуры метаданных в плоские читаемые переменные (secure_component, duration_ms), сформировав идеальный цифровой отчет для Главы 9.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 Bold" w:hAnsi="Times New Roman Bold" w:cs="Times New Roman Bold" w:eastAsia="Times New Roman Bold"/>
          <w:b/>
          <w:bCs/>
          <w:color w:val="000000"/>
          <w:sz w:val="30"/>
          <w:szCs w:val="30"/>
        </w:rPr>
        <w:t xml:space="preserve">ЗАКЛЮЧЕНИЕ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>Проведённые испытания и запуск 7 манипуляций в среде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 xml:space="preserve"> mongosh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наглядно демонстрируют гибкость и аналитическую мощность нереляционной СУБД </w:t>
      </w:r>
      <w:r>
        <w:rPr>
          <w:rFonts w:ascii="Times New Roman Italics" w:hAnsi="Times New Roman Italics" w:cs="Times New Roman Italics" w:eastAsia="Times New Roman Italics"/>
          <w:i/>
          <w:iCs/>
          <w:color w:val="000000"/>
          <w:sz w:val="30"/>
          <w:szCs w:val="30"/>
        </w:rPr>
        <w:t>MongoDB</w:t>
      </w:r>
      <w:r>
        <w:rPr>
          <w:rFonts w:ascii="Times New Roman" w:hAnsi="Times New Roman" w:cs="Times New Roman" w:eastAsia="Times New Roman"/>
          <w:color w:val="000000"/>
          <w:sz w:val="30"/>
          <w:szCs w:val="30"/>
        </w:rPr>
        <w:t xml:space="preserve"> при обработке неструктурированных данных информационной безопасности. Более того, реализованные конвейеры агрегации позволяют в реальном времени преобразовывать разрозненные сырые JSON-логи верификации в строгую, плоскую и юридически значимую отчетность испытательной лаборатории. Все технические результаты полностью согласованы с бизнес-логикой и графиками, полученными в Google Colab.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">
    <w:panose1 w:val="020B0604020202020204"/>
    <w:charset w:characterSet="1"/>
    <w:embedRegular r:id="rId1"/>
  </w:font>
  <w:font w:name="Arimo Bold Italics">
    <w:panose1 w:val="020B0704020202090204"/>
    <w:charset w:characterSet="1"/>
    <w:embedBoldItalic r:id="rId2"/>
  </w:font>
  <w:font w:name="Arimo Bold">
    <w:panose1 w:val="020B0704020202020204"/>
    <w:charset w:characterSet="1"/>
    <w:embedBold r:id="rId3"/>
  </w:font>
  <w:font w:name="Arimo Italics">
    <w:panose1 w:val="020B0604020202090204"/>
    <w:charset w:characterSet="1"/>
    <w:embedItalic r:id="rId4"/>
  </w:font>
  <w:font w:name="Times New Roman">
    <w:panose1 w:val="02020603050405020304"/>
    <w:charset w:characterSet="1"/>
  </w:font>
  <w:font w:name="Times New Roman Bold Italics">
    <w:panose1 w:val="02020703060505090304"/>
    <w:charset w:characterSet="1"/>
  </w:font>
  <w:font w:name="Times New Roman Bold">
    <w:panose1 w:val="02020803070505020304"/>
    <w:charset w:characterSet="1"/>
  </w:font>
  <w:font w:name="Times New Roman Italics">
    <w:panose1 w:val="02020503050405090304"/>
    <w:charset w:characterSet="1"/>
  </w:font>
  <w:font w:name="Open Sans">
    <w:panose1 w:val="020B0606030504020204"/>
    <w:charset w:characterSet="1"/>
    <w:embedRegular r:id="rId9"/>
  </w:font>
</w:fonts>
</file>

<file path=word/numbering.xml><?xml version="1.0" encoding="utf-8"?>
<w:numbering xmlns:w="http://schemas.openxmlformats.org/wordprocessingml/2006/main">
  <w:abstractNum w:abstractNumId="1">
    <w:multiLevelType w:val="hybridMultilevel"/>
    <w:lvl w:ilvl="0">
      <w:start w:val="1"/>
      <w:numFmt w:val="decimal"/>
      <w:lvlText w:val="%1."/>
      <w:lvlJc w:val="left"/>
      <w:pPr>
        <w:ind w:left="400" w:hanging="360"/>
      </w:pPr>
    </w:lvl>
    <w:lvl w:ilvl="1">
      <w:start w:val="1"/>
      <w:numFmt w:val="lowerLetter"/>
      <w:lvlText w:val="%2."/>
      <w:lvlJc w:val="left"/>
      <w:pPr>
        <w:ind w:left="800" w:hanging="360"/>
      </w:pPr>
    </w:lvl>
    <w:lvl w:ilvl="2">
      <w:start w:val="1"/>
      <w:numFmt w:val="lowerRoman"/>
      <w:lvlText w:val="%3."/>
      <w:lvlJc w:val="right"/>
      <w:pPr>
        <w:ind w:left="1200" w:hanging="180"/>
      </w:pPr>
    </w:lvl>
    <w:lvl w:ilvl="3">
      <w:start w:val="1"/>
      <w:numFmt w:val="decimal"/>
      <w:lvlText w:val="%4."/>
      <w:lvlJc w:val="left"/>
      <w:pPr>
        <w:ind w:left="1600" w:hanging="360"/>
      </w:pPr>
    </w:lvl>
    <w:lvl w:ilvl="4">
      <w:start w:val="1"/>
      <w:numFmt w:val="lowerLetter"/>
      <w:lvlText w:val="%5."/>
      <w:lvlJc w:val="left"/>
      <w:pPr>
        <w:ind w:left="2000" w:hanging="360"/>
      </w:pPr>
    </w:lvl>
    <w:lvl w:ilvl="5">
      <w:start w:val="1"/>
      <w:numFmt w:val="lowerRoman"/>
      <w:lvlText w:val="%6."/>
      <w:lvlJc w:val="right"/>
      <w:pPr>
        <w:ind w:left="2400" w:hanging="180"/>
      </w:pPr>
    </w:lvl>
    <w:lvl w:ilvl="6">
      <w:start w:val="1"/>
      <w:numFmt w:val="decimal"/>
      <w:lvlText w:val="%7."/>
      <w:lvlJc w:val="left"/>
      <w:pPr>
        <w:ind w:left="2800" w:hanging="360"/>
      </w:pPr>
    </w:lvl>
    <w:lvl w:ilvl="7">
      <w:start w:val="1"/>
      <w:numFmt w:val="lowerLetter"/>
      <w:lvlText w:val="%8."/>
      <w:lvlJc w:val="left"/>
      <w:pPr>
        <w:ind w:left="3200" w:hanging="36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7.png" Type="http://schemas.openxmlformats.org/officeDocument/2006/relationships/image"/><Relationship Id="rId11" Target="media/image8.png" Type="http://schemas.openxmlformats.org/officeDocument/2006/relationships/image"/><Relationship Id="rId12" Target="media/image9.png" Type="http://schemas.openxmlformats.org/officeDocument/2006/relationships/image"/><Relationship Id="rId13" Target="media/image10.png" Type="http://schemas.openxmlformats.org/officeDocument/2006/relationships/image"/><Relationship Id="rId14" Target="media/image11.png" Type="http://schemas.openxmlformats.org/officeDocument/2006/relationships/image"/><Relationship Id="rId15" Target="media/image12.png" Type="http://schemas.openxmlformats.org/officeDocument/2006/relationships/image"/><Relationship Id="rId16" Target="media/image13.png" Type="http://schemas.openxmlformats.org/officeDocument/2006/relationships/image"/><Relationship Id="rId17" Target="media/image14.png" Type="http://schemas.openxmlformats.org/officeDocument/2006/relationships/image"/><Relationship Id="rId18" Target="media/image15.png" Type="http://schemas.openxmlformats.org/officeDocument/2006/relationships/image"/><Relationship Id="rId19" Target="media/image16.png" Type="http://schemas.openxmlformats.org/officeDocument/2006/relationships/image"/><Relationship Id="rId2" Target="fontTable.xml" Type="http://schemas.openxmlformats.org/officeDocument/2006/relationships/fontTable"/><Relationship Id="rId20" Target="media/image17.png" Type="http://schemas.openxmlformats.org/officeDocument/2006/relationships/image"/><Relationship Id="rId21" Target="media/image18.png" Type="http://schemas.openxmlformats.org/officeDocument/2006/relationships/image"/><Relationship Id="rId22" Target="media/image19.png" Type="http://schemas.openxmlformats.org/officeDocument/2006/relationships/image"/><Relationship Id="rId23" Target="media/image20.png" Type="http://schemas.openxmlformats.org/officeDocument/2006/relationships/image"/><Relationship Id="rId24" Target="media/image21.png" Type="http://schemas.openxmlformats.org/officeDocument/2006/relationships/image"/><Relationship Id="rId25" Target="media/image22.png" Type="http://schemas.openxmlformats.org/officeDocument/2006/relationships/image"/><Relationship Id="rId26" Target="media/image23.png" Type="http://schemas.openxmlformats.org/officeDocument/2006/relationships/image"/><Relationship Id="rId27" Target="media/image24.png" Type="http://schemas.openxmlformats.org/officeDocument/2006/relationships/image"/><Relationship Id="rId28" Target="media/image25.png" Type="http://schemas.openxmlformats.org/officeDocument/2006/relationships/image"/><Relationship Id="rId29" Target="media/image26.png" Type="http://schemas.openxmlformats.org/officeDocument/2006/relationships/image"/><Relationship Id="rId3" Target="numbering.xml" Type="http://schemas.openxmlformats.org/officeDocument/2006/relationships/numbering"/><Relationship Id="rId4" Target="media/image1.png" Type="http://schemas.openxmlformats.org/officeDocument/2006/relationships/image"/><Relationship Id="rId5" Target="media/image2.png" Type="http://schemas.openxmlformats.org/officeDocument/2006/relationships/image"/><Relationship Id="rId6" Target="media/image3.png" Type="http://schemas.openxmlformats.org/officeDocument/2006/relationships/image"/><Relationship Id="rId7" Target="media/image4.png" Type="http://schemas.openxmlformats.org/officeDocument/2006/relationships/image"/><Relationship Id="rId8" Target="media/image5.png" Type="http://schemas.openxmlformats.org/officeDocument/2006/relationships/image"/><Relationship Id="rId9" Target="media/image6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9" Target="fonts/font9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2026-06-30T16:51:45Z</dcterms:created>
  <dc:creator>Apache POI</dc:creator>
  <dc:title>Отчёт по главе 9, часть по NoSQL (НЕДЕЛЯ 3)</dc:title>
</cp:coreProperties>
</file>