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 Learning Architectural Guide</w:t>
      </w:r>
    </w:p>
    <w:p>
      <w:pPr>
        <w:pStyle w:val="Heading1"/>
      </w:pPr>
      <w:r>
        <w:t>Section 1: Foundations of Artificial Neural Networks</w:t>
      </w:r>
    </w:p>
    <w:p>
      <w:r>
        <w:t>An Artificial Neural Network (ANN) consists of input, hidden, and output layers of interconnected neurons. Each connection possesses a tunable synaptic weight adjusted via backpropagation and gradient descent.</w:t>
      </w:r>
    </w:p>
    <w:p>
      <w:pPr>
        <w:pStyle w:val="Heading1"/>
      </w:pPr>
      <w:r>
        <w:t>Section 2: The Attention Mechanism</w:t>
      </w:r>
    </w:p>
    <w:p>
      <w:r>
        <w:t>The Transformer architecture introduced self-attention: Attention(Q, K, V) = softmax(Q K^T / sqrt(d_k)) * V. This mathematical formulation enables models to weight every input token relative to all other tokens in a single parallel operation.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