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Times New Roman" w:cs="Times New Roman" w:eastAsia="Times New Roman" w:hAnsi="Times New Roman"/>
          <w:b/>
          <w:bCs/>
          <w:sz w:val="36"/>
          <w:szCs w:val="36"/>
        </w:rPr>
        <w:t xml:space="preserve">Towards a Unified Framework for Verified Commercial Transparency:</w:t>
      </w:r>
    </w:p>
    <w:p>
      <w:pPr>
        <w:spacing w:after="320" w:before="0"/>
        <w:jc w:val="center"/>
      </w:pPr>
      <w:r>
        <w:rPr>
          <w:rFonts w:ascii="Times New Roman" w:cs="Times New Roman" w:eastAsia="Times New Roman" w:hAnsi="Times New Roman"/>
          <w:b/>
          <w:bCs/>
          <w:i/>
          <w:iCs/>
          <w:sz w:val="32"/>
          <w:szCs w:val="32"/>
        </w:rPr>
        <w:t xml:space="preserve">Bridging Product Truth and Advertising Integrity in the Indian Consumer Market</w:t>
      </w:r>
    </w:p>
    <w:p>
      <w:pPr>
        <w:spacing w:after="120" w:before="0"/>
        <w:jc w:val="center"/>
      </w:pPr>
      <w:r>
        <w:rPr>
          <w:rFonts w:ascii="Times New Roman" w:cs="Times New Roman" w:eastAsia="Times New Roman" w:hAnsi="Times New Roman"/>
          <w:b/>
          <w:bCs/>
          <w:sz w:val="24"/>
          <w:szCs w:val="24"/>
        </w:rPr>
        <w:t xml:space="preserve">Sadhana Ravichandra Tulasi Krishna</w:t>
      </w:r>
    </w:p>
    <w:p>
      <w:pPr>
        <w:spacing w:after="80" w:before="0"/>
        <w:jc w:val="center"/>
      </w:pPr>
      <w:r>
        <w:rPr>
          <w:rFonts w:ascii="Times New Roman" w:cs="Times New Roman" w:eastAsia="Times New Roman" w:hAnsi="Times New Roman"/>
          <w:i/>
          <w:iCs/>
          <w:sz w:val="22"/>
          <w:szCs w:val="22"/>
        </w:rPr>
        <w:t xml:space="preserve">Independent Researcher</w:t>
      </w:r>
    </w:p>
    <w:p>
      <w:pPr>
        <w:spacing w:after="80" w:before="0"/>
        <w:jc w:val="center"/>
      </w:pPr>
      <w:r>
        <w:rPr>
          <w:rFonts w:ascii="Times New Roman" w:cs="Times New Roman" w:eastAsia="Times New Roman" w:hAnsi="Times New Roman"/>
          <w:sz w:val="22"/>
          <w:szCs w:val="22"/>
        </w:rPr>
        <w:t xml:space="preserve">Hospet, Karnataka, India</w:t>
      </w:r>
    </w:p>
    <w:p>
      <w:pPr>
        <w:spacing w:after="400" w:before="0"/>
        <w:jc w:val="center"/>
      </w:pPr>
      <w:r>
        <w:rPr>
          <w:rFonts w:ascii="Times New Roman" w:cs="Times New Roman" w:eastAsia="Times New Roman" w:hAnsi="Times New Roman"/>
          <w:color w:val="555555"/>
          <w:sz w:val="20"/>
          <w:szCs w:val="20"/>
        </w:rPr>
        <w:t xml:space="preserve">Submitted to arXiv — cs.CY (Computers and Society)  |  May 2026</w:t>
      </w:r>
    </w:p>
    <w:p>
      <w:pPr>
        <w:spacing w:after="120" w:before="0"/>
        <w:jc w:val="center"/>
      </w:pPr>
      <w:r>
        <w:rPr>
          <w:rFonts w:ascii="Times New Roman" w:cs="Times New Roman" w:eastAsia="Times New Roman" w:hAnsi="Times New Roman"/>
          <w:b/>
          <w:bCs/>
          <w:sz w:val="26"/>
          <w:szCs w:val="26"/>
        </w:rPr>
        <w:t xml:space="preserve">Abstract</w:t>
      </w:r>
    </w:p>
    <w:p>
      <w:pPr>
        <w:spacing w:after="400" w:before="0" w:line="264"/>
        <w:ind w:left="720" w:right="720"/>
        <w:jc w:val="both"/>
      </w:pPr>
      <w:r>
        <w:rPr>
          <w:rFonts w:ascii="Times New Roman" w:cs="Times New Roman" w:eastAsia="Times New Roman" w:hAnsi="Times New Roman"/>
          <w:sz w:val="22"/>
          <w:szCs w:val="22"/>
        </w:rPr>
        <w:t xml:space="preserve">Digital commerce operates across two distinct layers of trust: whether a product is what the vendor claims it to be, and whether the advertisement used to sell it is psychologically honest about that product. Existing transparency frameworks address these in isolation, if at all. This paper introduces a unified two-layer verification architecture bridging the Algorithmic Trust Engine (ATE) — a supply-chain-grounded product verification system — with the NTI-AD AI PAVE-C v2.0 framework — a real-time advertising manipulation detection system. The integration produces two novel scalar measures: the Unified Trust Index (UTI) and the Advertising Integrity Deficit (AID). We extend the framework with five additional metrics — Linguistic Pressure Score (LPS), Emotional Density Vector (EDV), Semantic Exaggeration Coefficient (SEC), Psychological Entropy Score (H_ψ), and an enhanced Manipulation Pressure Index (MPI) — each grounded in dual-process cognitive theory. We apply the unified framework to six documented cases from the Indian advertising landscape (Vimal Pan Masala, Maggi Noodles, Cadbury Bournvita, Horlicks, KFC India, and Fair &amp; Lovely), all supported by public regulatory records from the Advertising Standards Council of India (ASCI), the Food Safety and Standards Authority of India (FSSAI), the National Commission for Protection of Child Rights (NCPCR), and Indian High Court judgments. We identify Quadrant II — genuine products sold through psychologically manipulative advertising — as the dominant configuration in Indian fast-moving consumer goods advertising and the configuration most invisible to existing regulatory frameworks. The framework, working prototype, and case study dataset are publicly available.</w:t>
      </w:r>
    </w:p>
    <w:p>
      <w:pPr>
        <w:spacing w:after="480" w:before="0"/>
        <w:ind w:left="720" w:right="720"/>
        <w:jc w:val="center"/>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advertising transparency, algorithmic trust, persuasion detection, cognitive manipulation, Indian consumer protection, dual-process theory, supply chain verification, behavioral economics, PAVE-C, Advertising Integrity Deficit</w:t>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1. Introduction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When an Indian consumer encounters an advertisement for Cadbury Bournvita claiming that daily consumption prepares children for athletic achievement and academic excellence, two categorically distinct questions arise. First: does the product actually deliver what it claims — nutritionally, physiologically, measurably? Second: was the advertisement designed in a way that suppresses the consumer's rational capacity to ask that first question before acting?</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These are not the same problem. The first is an empirical question about physical reality — answerable through nutritional testing, regulatory analysis, and supply chain verification. The second is a question about cognitive architecture — about whether the advertisement's structure, language, emotional triggers, and temporal design systematically disable the consumer's evaluative capacity before a critical judgment can be formed. India's National Commission for Protection of Child Rights answered both questions about Bournvita simultaneously in April 2023: the product contains more sugar per gram than Coca-Cola, and the advertising uses champion-imagery guilt mechanics to make parental refusal psychologically costly.</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Existing frameworks address each layer in isolation. Supply chain verification systems (IBM Food Trust, Provenance) address product authenticity but say nothing about advertising honesty. Advertising standards bodies (ASCI, FTC) address factual claim accuracy but not psychological manipulation techniques. Media literacy research identifies persuasion patterns but provides no real-time computational detection. No existing framework quantifies the </w:t>
      </w:r>
      <w:r>
        <w:rPr>
          <w:rFonts w:ascii="Times New Roman" w:cs="Times New Roman" w:eastAsia="Times New Roman" w:hAnsi="Times New Roman"/>
          <w:b w:val="false"/>
          <w:bCs w:val="false"/>
          <w:i/>
          <w:iCs/>
          <w:color w:val="000000"/>
          <w:sz w:val="24"/>
          <w:szCs w:val="24"/>
        </w:rPr>
        <w:t xml:space="preserve">relationship</w:t>
      </w:r>
      <w:r>
        <w:rPr>
          <w:rFonts w:ascii="Times New Roman" w:cs="Times New Roman" w:eastAsia="Times New Roman" w:hAnsi="Times New Roman"/>
          <w:b w:val="false"/>
          <w:bCs w:val="false"/>
          <w:i w:val="false"/>
          <w:iCs w:val="false"/>
          <w:color w:val="000000"/>
          <w:sz w:val="24"/>
          <w:szCs w:val="24"/>
        </w:rPr>
        <w:t xml:space="preserve"> between what a product is and how it is advertised — the gap between product truth and advertising truth.</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gap matters especially in the Indian consumer market for three reasons. First, the scale: India's FMCG advertising market exceeds ₹90,000 crore annually, reaching consumers across all literacy levels and economic classes. Second, the regulatory asymmetry: India's advertising self-regulation framework (ASCI) focuses on factual claim accuracy and has limited jurisdiction over psychological manipulation techniques. Third, the child exposure: Indian children encounter an estimated 40,000+ advertisements per year, with documented cases — Maggi, Bournvita, Horlicks, fairness creams — causing measurable generational harm to nutritional choices, self-image, and critical evaluation capacity.</w:t>
      </w:r>
    </w:p>
    <w:p>
      <w:pPr>
        <w:spacing w:after="80" w:before="0" w:line="276"/>
        <w:jc w:val="both"/>
      </w:pPr>
      <w:r>
        <w:rPr>
          <w:rFonts w:ascii="Times New Roman" w:cs="Times New Roman" w:eastAsia="Times New Roman" w:hAnsi="Times New Roman"/>
          <w:b w:val="false"/>
          <w:bCs w:val="false"/>
          <w:i w:val="false"/>
          <w:iCs w:val="false"/>
          <w:color w:val="000000"/>
          <w:sz w:val="24"/>
          <w:szCs w:val="24"/>
        </w:rPr>
        <w:t xml:space="preserve">This paper makes the following contributions:</w:t>
      </w:r>
    </w:p>
    <w:p>
      <w:pPr>
        <w:spacing w:after="40" w:before="40" w:line="276"/>
        <w:ind w:left="431"/>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bCs/>
          <w:i w:val="false"/>
          <w:iCs w:val="false"/>
          <w:color w:val="000000"/>
          <w:sz w:val="24"/>
          <w:szCs w:val="24"/>
        </w:rPr>
        <w:t xml:space="preserve">The 2D Commercial Trust Space: </w:t>
      </w:r>
      <w:r>
        <w:rPr>
          <w:rFonts w:ascii="Times New Roman" w:cs="Times New Roman" w:eastAsia="Times New Roman" w:hAnsi="Times New Roman"/>
          <w:b w:val="false"/>
          <w:bCs w:val="false"/>
          <w:i w:val="false"/>
          <w:iCs w:val="false"/>
          <w:color w:val="000000"/>
          <w:sz w:val="24"/>
          <w:szCs w:val="24"/>
        </w:rPr>
        <w:t xml:space="preserve">a formal two-dimensional space with product truth (ATE score) on one axis and advertising transparency (NTI-AD PAVE-C score) on the other, enabling vendors to be classified into four behaviorally distinct quadrants.</w:t>
      </w:r>
    </w:p>
    <w:p>
      <w:pPr>
        <w:spacing w:after="40" w:before="40" w:line="276"/>
        <w:ind w:left="431"/>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bCs/>
          <w:i w:val="false"/>
          <w:iCs w:val="false"/>
          <w:color w:val="000000"/>
          <w:sz w:val="24"/>
          <w:szCs w:val="24"/>
        </w:rPr>
        <w:t xml:space="preserve">The Unified Trust Index (UTI): </w:t>
      </w:r>
      <w:r>
        <w:rPr>
          <w:rFonts w:ascii="Times New Roman" w:cs="Times New Roman" w:eastAsia="Times New Roman" w:hAnsi="Times New Roman"/>
          <w:b w:val="false"/>
          <w:bCs w:val="false"/>
          <w:i w:val="false"/>
          <w:iCs w:val="false"/>
          <w:color w:val="000000"/>
          <w:sz w:val="24"/>
          <w:szCs w:val="24"/>
        </w:rPr>
        <w:t xml:space="preserve">a single scalar integrating both dimensions multiplicatively, correctly penalizing the configuration of genuine product combined with manipulative advertising.</w:t>
      </w:r>
    </w:p>
    <w:p>
      <w:pPr>
        <w:spacing w:after="40" w:before="40" w:line="276"/>
        <w:ind w:left="431"/>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bCs/>
          <w:i w:val="false"/>
          <w:iCs w:val="false"/>
          <w:color w:val="000000"/>
          <w:sz w:val="24"/>
          <w:szCs w:val="24"/>
        </w:rPr>
        <w:t xml:space="preserve">The Advertising Integrity Deficit (AID): </w:t>
      </w:r>
      <w:r>
        <w:rPr>
          <w:rFonts w:ascii="Times New Roman" w:cs="Times New Roman" w:eastAsia="Times New Roman" w:hAnsi="Times New Roman"/>
          <w:b w:val="false"/>
          <w:bCs w:val="false"/>
          <w:i w:val="false"/>
          <w:iCs w:val="false"/>
          <w:color w:val="000000"/>
          <w:sz w:val="24"/>
          <w:szCs w:val="24"/>
        </w:rPr>
        <w:t xml:space="preserve">a diagnostic quantity measuring the excess of product quality over advertising honesty — the first formal definition of this construct as a measurable scalar.</w:t>
      </w:r>
    </w:p>
    <w:p>
      <w:pPr>
        <w:spacing w:after="40" w:before="40" w:line="276"/>
        <w:ind w:left="431"/>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bCs/>
          <w:i w:val="false"/>
          <w:iCs w:val="false"/>
          <w:color w:val="000000"/>
          <w:sz w:val="24"/>
          <w:szCs w:val="24"/>
        </w:rPr>
        <w:t xml:space="preserve">Five advanced metrics (PAVE-C v2.0): </w:t>
      </w:r>
      <w:r>
        <w:rPr>
          <w:rFonts w:ascii="Times New Roman" w:cs="Times New Roman" w:eastAsia="Times New Roman" w:hAnsi="Times New Roman"/>
          <w:b w:val="false"/>
          <w:bCs w:val="false"/>
          <w:i w:val="false"/>
          <w:iCs w:val="false"/>
          <w:color w:val="000000"/>
          <w:sz w:val="24"/>
          <w:szCs w:val="24"/>
        </w:rPr>
        <w:t xml:space="preserve">LPS, EDV, SEC, H_ψ, and MPI — extending the base PAVE-C framework with theoretically grounded, cognitively motivated dimensions absent from prior advertising transparency systems.</w:t>
      </w:r>
    </w:p>
    <w:p>
      <w:pPr>
        <w:spacing w:after="160" w:before="40" w:line="276"/>
        <w:ind w:left="431"/>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bCs/>
          <w:i w:val="false"/>
          <w:iCs w:val="false"/>
          <w:color w:val="000000"/>
          <w:sz w:val="24"/>
          <w:szCs w:val="24"/>
        </w:rPr>
        <w:t xml:space="preserve">An Indian advertising case study corpus: </w:t>
      </w:r>
      <w:r>
        <w:rPr>
          <w:rFonts w:ascii="Times New Roman" w:cs="Times New Roman" w:eastAsia="Times New Roman" w:hAnsi="Times New Roman"/>
          <w:b w:val="false"/>
          <w:bCs w:val="false"/>
          <w:i w:val="false"/>
          <w:iCs w:val="false"/>
          <w:color w:val="000000"/>
          <w:sz w:val="24"/>
          <w:szCs w:val="24"/>
        </w:rPr>
        <w:t xml:space="preserve">six documented cases grounded in ASCI rulings, FSSAI orders, NCPCR notices, and court judgments — the first application of a unified product-advertising transparency framework to the Indian consumer market.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2. Related Work</w:t>
      </w:r>
    </w:p>
    <w:p>
      <w:pPr>
        <w:pStyle w:val="Heading2"/>
        <w:spacing w:after="120" w:before="280"/>
      </w:pPr>
      <w:r>
        <w:rPr>
          <w:rFonts w:ascii="Times New Roman" w:cs="Times New Roman" w:eastAsia="Times New Roman" w:hAnsi="Times New Roman"/>
          <w:b/>
          <w:bCs/>
          <w:i/>
          <w:iCs/>
          <w:sz w:val="24"/>
          <w:szCs w:val="24"/>
        </w:rPr>
        <w:t xml:space="preserve">2.1 Dual-Process Theory and Advertising Manipulation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Kahneman (2011) distinguishes System 1 thinking — fast, automatic, emotionally driven — from System 2 thinking — slow, deliberate, and analytical. Advertising systems are designed to activate System 1 while suppressing System 2. Urgency cues ('only 3 left'), scarcity framing, celebrity association, and high cognitive load environments function as System 2 suppression mechanisms. The NTI-AD PAVE-C framework operationalizes this: the Cognitive Load Factor (CLF) and Emotional Density Vector (EDV) jointly measure the degree of System 2 suppression embedded in an advertisement's structure.</w:t>
      </w:r>
    </w:p>
    <w:p>
      <w:pPr>
        <w:pStyle w:val="Heading2"/>
        <w:spacing w:after="120" w:before="280"/>
      </w:pPr>
      <w:r>
        <w:rPr>
          <w:rFonts w:ascii="Times New Roman" w:cs="Times New Roman" w:eastAsia="Times New Roman" w:hAnsi="Times New Roman"/>
          <w:b/>
          <w:bCs/>
          <w:i/>
          <w:iCs/>
          <w:sz w:val="24"/>
          <w:szCs w:val="24"/>
        </w:rPr>
        <w:t xml:space="preserve">2.2 Cialdini's Influence Principles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Cialdini (1984) identified six core compliance triggers — reciprocity, commitment, social proof, authority, liking, and scarcity. The NTI-AD Persuasion Intensity (PI) layer detects and scores these using a compounding formula borrowed from reliability theory rather than linear summation, which correctly models the super-additive effect of stacking multiple techniques simultaneously: PI = 1 − ∏(1 − wᵢ·pᵢ). This formulation is bounded to [0,1] and captures why combined techniques produce disproportionately stronger effects.</w:t>
      </w:r>
    </w:p>
    <w:p>
      <w:pPr>
        <w:pStyle w:val="Heading2"/>
        <w:spacing w:after="120" w:before="280"/>
      </w:pPr>
      <w:r>
        <w:rPr>
          <w:rFonts w:ascii="Times New Roman" w:cs="Times New Roman" w:eastAsia="Times New Roman" w:hAnsi="Times New Roman"/>
          <w:b/>
          <w:bCs/>
          <w:i/>
          <w:iCs/>
          <w:sz w:val="24"/>
          <w:szCs w:val="24"/>
        </w:rPr>
        <w:t xml:space="preserve">2.3 Supply Chain Transparency Systems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Existing blockchain-based provenance tracking (IBM Food Trust, Walmart Food Safety) and ISO 22000 standards address product authenticity independently of advertising. The ATE engine introduced in this paper is the first framework to formally connect supply chain verification with advertising transparency measurement, producing the AID as a derived diagnostic quantity.</w:t>
      </w:r>
    </w:p>
    <w:p>
      <w:pPr>
        <w:pStyle w:val="Heading2"/>
        <w:spacing w:after="120" w:before="280"/>
      </w:pPr>
      <w:r>
        <w:rPr>
          <w:rFonts w:ascii="Times New Roman" w:cs="Times New Roman" w:eastAsia="Times New Roman" w:hAnsi="Times New Roman"/>
          <w:b/>
          <w:bCs/>
          <w:i/>
          <w:iCs/>
          <w:sz w:val="24"/>
          <w:szCs w:val="24"/>
        </w:rPr>
        <w:t xml:space="preserve">2.4 Indian Regulatory Context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India's Advertising Standards Council (ASCI) operates a complaint-based self-regulatory model addressing factual claim accuracy. FSSAI regulates nutritional labeling and composition. NCPCR has jurisdiction over child-targeted advertising. No existing Indian regulatory body has jurisdiction over psychological manipulation techniques that are technically non-deceptive at the factual level — the regulatory gap this framework is designed to measure and communicate.</w:t>
      </w:r>
    </w:p>
    <w:p>
      <w:pPr>
        <w:pStyle w:val="Heading2"/>
        <w:spacing w:after="120" w:before="280"/>
      </w:pPr>
      <w:r>
        <w:rPr>
          <w:rFonts w:ascii="Times New Roman" w:cs="Times New Roman" w:eastAsia="Times New Roman" w:hAnsi="Times New Roman"/>
          <w:b/>
          <w:bCs/>
          <w:i/>
          <w:iCs/>
          <w:sz w:val="24"/>
          <w:szCs w:val="24"/>
        </w:rPr>
        <w:t xml:space="preserve">2.5 Cognitive Load in Media</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Sweller (1988) demonstrated that information processing capacity is finite and depletable. Advertisements exploit this through edit rate, simultaneous audio-visual stimulation, and dense information presentation. The CLF dimension in PAVE-C is the first computational operationalization of Sweller's cognitive load theory in an advertising transparency context.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3. Layer 1: The Algorithmic Trust Engine (ATE)</w:t>
      </w:r>
    </w:p>
    <w:p>
      <w:pPr>
        <w:pStyle w:val="Heading2"/>
        <w:spacing w:after="120" w:before="280"/>
      </w:pPr>
      <w:r>
        <w:rPr>
          <w:rFonts w:ascii="Times New Roman" w:cs="Times New Roman" w:eastAsia="Times New Roman" w:hAnsi="Times New Roman"/>
          <w:b/>
          <w:bCs/>
          <w:i/>
          <w:iCs/>
          <w:sz w:val="24"/>
          <w:szCs w:val="24"/>
        </w:rPr>
        <w:t xml:space="preserve">3.1 System Overview</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ATE verifies product claims against deterministic supply chain data. The core insight: a food vendor's daily receipts contain ground truth. Total raw ingredient weight purchased, divided by plates served, produces a verifiable per-plate quantity comparable against advertising claims.</w:t>
      </w:r>
    </w:p>
    <w:p>
      <w:pPr>
        <w:pStyle w:val="Heading2"/>
        <w:spacing w:after="120" w:before="280"/>
      </w:pPr>
      <w:r>
        <w:rPr>
          <w:rFonts w:ascii="Times New Roman" w:cs="Times New Roman" w:eastAsia="Times New Roman" w:hAnsi="Times New Roman"/>
          <w:b/>
          <w:bCs/>
          <w:i/>
          <w:iCs/>
          <w:sz w:val="24"/>
          <w:szCs w:val="24"/>
        </w:rPr>
        <w:t xml:space="preserve">3.2 Vector Space Definitions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system operates on two measurement vectors. The Physical Reality Vector V is derived from supply chain data:</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V = [v₁, v₂, v₃, v₄, v₅]ᵀ  where:</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  v₁ = meat_per_plate (g)          — deterministic, from receipt arithmetic</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  v₂ = caloric_density (kcal/g)    — deterministic, from receipt arithmetic</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  v₃ = ingredient_freshness_index  — stochastic, from crowd audits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  v₄ = prep_timestamp_delta (hrs)  — stochastic, from photo heuristics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  v₅ = portion_volume_estimate (ml)— stochastic, from crowd audits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Digital Claim Vector C mirrors V in dimension, populated from the vendor's registered daily claims. All components normalized to [0, 1] before computation.</w:t>
      </w:r>
    </w:p>
    <w:p>
      <w:pPr>
        <w:pStyle w:val="Heading2"/>
        <w:spacing w:after="120" w:before="280"/>
      </w:pPr>
      <w:r>
        <w:rPr>
          <w:rFonts w:ascii="Times New Roman" w:cs="Times New Roman" w:eastAsia="Times New Roman" w:hAnsi="Times New Roman"/>
          <w:b/>
          <w:bCs/>
          <w:i/>
          <w:iCs/>
          <w:sz w:val="24"/>
          <w:szCs w:val="24"/>
        </w:rPr>
        <w:t xml:space="preserve">3.3 The Mismatch Norm</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scalar measure of total product dishonesty is the Frobenius norm of the difference between physical and claimed states: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Δ = ‖V − C‖_F = √(Σᵢ (vᵢ − cᵢ)²)</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Δ = 0 represents perfect honesty. As claims diverge from physical reality, Δ grows unboundedly.</w:t>
      </w:r>
    </w:p>
    <w:p>
      <w:pPr>
        <w:pStyle w:val="Heading2"/>
        <w:spacing w:after="120" w:before="280"/>
      </w:pPr>
      <w:r>
        <w:rPr>
          <w:rFonts w:ascii="Times New Roman" w:cs="Times New Roman" w:eastAsia="Times New Roman" w:hAnsi="Times New Roman"/>
          <w:b/>
          <w:bCs/>
          <w:i/>
          <w:iCs/>
          <w:sz w:val="24"/>
          <w:szCs w:val="24"/>
        </w:rPr>
        <w:t xml:space="preserve">3.4 The Coupling Constant and Calibration</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α = e^(−λΔ),   α ∈ (0, 1]</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Calibration condition: 20% ingredient shortfall → α = 0.5 (half-pressure threshold)</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  λ = ln(2) / Δ₂₀%</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Honest vendors (Δ→0) receive α→1: maximum pressure. Dishonest vendors (Δ→∞) receive α→0: score growth collapses regardless of scan volume.</w:t>
      </w:r>
    </w:p>
    <w:p>
      <w:pPr>
        <w:pStyle w:val="Heading2"/>
        <w:spacing w:after="120" w:before="280"/>
      </w:pPr>
      <w:r>
        <w:rPr>
          <w:rFonts w:ascii="Times New Roman" w:cs="Times New Roman" w:eastAsia="Times New Roman" w:hAnsi="Times New Roman"/>
          <w:b/>
          <w:bCs/>
          <w:i/>
          <w:iCs/>
          <w:sz w:val="24"/>
          <w:szCs w:val="24"/>
        </w:rPr>
        <w:t xml:space="preserve">3.5 Transparency Growth ODE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Trust T grows as a function of cumulative customer scans 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dT/dS = α(T_max − T)</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Solution (initial condition T(0) = 0):</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T(S) = T_max · (1 − e^(−αS))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This is the Eden Condition: without honesty pressure (α→0), the derivative collapses to zero. A dishonest vendor cannot buy trust through scan volume alone.</w:t>
      </w:r>
    </w:p>
    <w:p>
      <w:pPr>
        <w:pStyle w:val="Heading2"/>
        <w:spacing w:after="120" w:before="280"/>
      </w:pPr>
      <w:r>
        <w:rPr>
          <w:rFonts w:ascii="Times New Roman" w:cs="Times New Roman" w:eastAsia="Times New Roman" w:hAnsi="Times New Roman"/>
          <w:b/>
          <w:bCs/>
          <w:i/>
          <w:iCs/>
          <w:sz w:val="24"/>
          <w:szCs w:val="24"/>
        </w:rPr>
        <w:t xml:space="preserve">3.6 Deception Risk Score and Final Score</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DRS(t) = β₁·Var_VI(t) + β₂·F_audit(t) + β₃·(1 − r̄_binary(t))</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w_i(t) = [1/σ_i²(t)] / Σ_k [1/σ_k²(t)]          (Inverse Variance Weighting)</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TS_final = (1/T_day) ∫₀^T_day [w₁(t)·VI(t) + w₂(t)·AS(t) − w₃(t)·DRS(t)] dt · (T(S)/100)</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ATE_Score = 100 / (1 + e^(−8·(TS_final − 0.5)))   (sigmoid normalization)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4. Layer 2: NTI-AD AI and the PAVE-C v2.0 Framework</w:t>
      </w:r>
    </w:p>
    <w:p>
      <w:pPr>
        <w:pStyle w:val="Heading2"/>
        <w:spacing w:after="120" w:before="280"/>
      </w:pPr>
      <w:r>
        <w:rPr>
          <w:rFonts w:ascii="Times New Roman" w:cs="Times New Roman" w:eastAsia="Times New Roman" w:hAnsi="Times New Roman"/>
          <w:b/>
          <w:bCs/>
          <w:i/>
          <w:iCs/>
          <w:sz w:val="24"/>
          <w:szCs w:val="24"/>
        </w:rPr>
        <w:t xml:space="preserve">4.1 System Overview</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Where ATE asks 'is the product what the vendor claims?', NTI-AD AI asks 'is the advertisement honest about the product, and does it suppress the consumer's ability to evaluate that question?' PAVE-C v2.0 scores ten independently measured dimensions across two layers.</w:t>
      </w:r>
    </w:p>
    <w:p>
      <w:pPr>
        <w:pStyle w:val="Heading2"/>
        <w:spacing w:after="120" w:before="280"/>
      </w:pPr>
      <w:r>
        <w:rPr>
          <w:rFonts w:ascii="Times New Roman" w:cs="Times New Roman" w:eastAsia="Times New Roman" w:hAnsi="Times New Roman"/>
          <w:b/>
          <w:bCs/>
          <w:i/>
          <w:iCs/>
          <w:sz w:val="24"/>
          <w:szCs w:val="24"/>
        </w:rPr>
        <w:t xml:space="preserve">4.2 Base PAVE-C Dimensions</w:t>
      </w:r>
    </w:p>
    <w:p>
      <w:pPr>
        <w:pStyle w:val="Heading3"/>
        <w:spacing w:after="80" w:before="200"/>
      </w:pPr>
      <w:r>
        <w:rPr>
          <w:rFonts w:ascii="Times New Roman" w:cs="Times New Roman" w:eastAsia="Times New Roman" w:hAnsi="Times New Roman"/>
          <w:b/>
          <w:bCs/>
          <w:sz w:val="24"/>
          <w:szCs w:val="24"/>
        </w:rPr>
        <w:t xml:space="preserve">4.2.1 Persuasion Intensity (PI)</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Measures aggregate strength of psychological compliance triggers using a compounding formula from reliability theory:</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PI = 1 − ∏ᵢ(1 − wᵢ·pᵢ)</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where pᵢ is the activation score for technique i (urgency, scarcity, FOMO, authority, social proof, reciprocity) and wᵢ is a learned intensity weight. This formulation is naturally bounded to [0,1] and correctly models the super-additive effect of stacking techniques.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PI_effective = PI × [1 + τ·(1 − t_first/T)],   τ ∈ [0, 0.5]</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Temporal urgency weighting: techniques appearing before the viewer forms a critical stance receive amplified weight.</w:t>
      </w:r>
    </w:p>
    <w:p>
      <w:pPr>
        <w:pStyle w:val="Heading3"/>
        <w:spacing w:after="80" w:before="200"/>
      </w:pPr>
      <w:r>
        <w:rPr>
          <w:rFonts w:ascii="Times New Roman" w:cs="Times New Roman" w:eastAsia="Times New Roman" w:hAnsi="Times New Roman"/>
          <w:b/>
          <w:bCs/>
          <w:sz w:val="24"/>
          <w:szCs w:val="24"/>
        </w:rPr>
        <w:t xml:space="preserve">4.2.2 Verifiability Index (VI)</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VI = (1/m) Σᵢ tᵢ · specificity(cᵢ)</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where tᵢ ∈ [0,1] is estimated plausibility of claim i, and specificity(cᵢ) weights falsifiable quantitative claims (e.g., '150g protein-rich chicken') more heavily than unfalsifiable lifestyle assertions (e.g., 'the champion's choice').</w:t>
      </w:r>
    </w:p>
    <w:p>
      <w:pPr>
        <w:pStyle w:val="Heading3"/>
        <w:spacing w:after="80" w:before="200"/>
      </w:pPr>
      <w:r>
        <w:rPr>
          <w:rFonts w:ascii="Times New Roman" w:cs="Times New Roman" w:eastAsia="Times New Roman" w:hAnsi="Times New Roman"/>
          <w:b/>
          <w:bCs/>
          <w:sz w:val="24"/>
          <w:szCs w:val="24"/>
        </w:rPr>
        <w:t xml:space="preserve">4.2.3 Authenticity Score (AS) and Cognitive Load Factor (CLF)</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AS measures claim-hedging behavior and specificity as proxies for authentic communication. CLF measures the bandwidth consumed by the advertisement's structure, reducing cognitive resources available for critical evaluation.</w:t>
      </w:r>
    </w:p>
    <w:p>
      <w:pPr>
        <w:pStyle w:val="Heading2"/>
        <w:spacing w:after="120" w:before="280"/>
      </w:pPr>
      <w:r>
        <w:rPr>
          <w:rFonts w:ascii="Times New Roman" w:cs="Times New Roman" w:eastAsia="Times New Roman" w:hAnsi="Times New Roman"/>
          <w:b/>
          <w:bCs/>
          <w:i/>
          <w:iCs/>
          <w:sz w:val="24"/>
          <w:szCs w:val="24"/>
        </w:rPr>
        <w:t xml:space="preserve">4.3 Advanced Metrics — PAVE-C v2.0 Extensions</w:t>
      </w:r>
    </w:p>
    <w:p>
      <w:pPr>
        <w:pStyle w:val="Heading3"/>
        <w:spacing w:after="80" w:before="200"/>
      </w:pPr>
      <w:r>
        <w:rPr>
          <w:rFonts w:ascii="Times New Roman" w:cs="Times New Roman" w:eastAsia="Times New Roman" w:hAnsi="Times New Roman"/>
          <w:b/>
          <w:bCs/>
          <w:sz w:val="24"/>
          <w:szCs w:val="24"/>
        </w:rPr>
        <w:t xml:space="preserve">4.3.1 Linguistic Pressure Score (LPS)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Motivation: manipulation is not just </w:t>
      </w:r>
      <w:r>
        <w:rPr>
          <w:rFonts w:ascii="Times New Roman" w:cs="Times New Roman" w:eastAsia="Times New Roman" w:hAnsi="Times New Roman"/>
          <w:b w:val="false"/>
          <w:bCs w:val="false"/>
          <w:i/>
          <w:iCs/>
          <w:color w:val="000000"/>
          <w:sz w:val="24"/>
          <w:szCs w:val="24"/>
        </w:rPr>
        <w:t xml:space="preserve">what</w:t>
      </w:r>
      <w:r>
        <w:rPr>
          <w:rFonts w:ascii="Times New Roman" w:cs="Times New Roman" w:eastAsia="Times New Roman" w:hAnsi="Times New Roman"/>
          <w:b w:val="false"/>
          <w:bCs w:val="false"/>
          <w:i w:val="false"/>
          <w:iCs w:val="false"/>
          <w:color w:val="000000"/>
          <w:sz w:val="24"/>
          <w:szCs w:val="24"/>
        </w:rPr>
        <w:t xml:space="preserve"> is said — it is </w:t>
      </w:r>
      <w:r>
        <w:rPr>
          <w:rFonts w:ascii="Times New Roman" w:cs="Times New Roman" w:eastAsia="Times New Roman" w:hAnsi="Times New Roman"/>
          <w:b w:val="false"/>
          <w:bCs w:val="false"/>
          <w:i/>
          <w:iCs/>
          <w:color w:val="000000"/>
          <w:sz w:val="24"/>
          <w:szCs w:val="24"/>
        </w:rPr>
        <w:t xml:space="preserve">how much force</w:t>
      </w:r>
      <w:r>
        <w:rPr>
          <w:rFonts w:ascii="Times New Roman" w:cs="Times New Roman" w:eastAsia="Times New Roman" w:hAnsi="Times New Roman"/>
          <w:b w:val="false"/>
          <w:bCs w:val="false"/>
          <w:i w:val="false"/>
          <w:iCs w:val="false"/>
          <w:color w:val="000000"/>
          <w:sz w:val="24"/>
          <w:szCs w:val="24"/>
        </w:rPr>
        <w:t xml:space="preserve"> the language applies. LPS captures this dimension absent from prior PI formulations.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LPS(sᵢ) = w₁·modal_strength(sᵢ) + w₂·imperative(sᵢ) + w₃·negation_alt(sᵢ) + w₄·second_person(sᵢ)</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LPS_doc = Σᵢ [LPS(sᵢ) × w_position(i)] / n</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w_position(i) = 1 + τ(1 − (i−1)/(n−1)),   τ = 0.4</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Modal strength scoring follows the Palmer (2001) deontic modality hierarchy: 'must' (0.95) &gt; 'should' (0.65) &gt; 'could' (0.25). Temporal weighting reflects the primacy effect: earlier sentences receive higher pressure weight.</w:t>
      </w:r>
    </w:p>
    <w:p>
      <w:pPr>
        <w:pStyle w:val="Heading3"/>
        <w:spacing w:after="80" w:before="200"/>
      </w:pPr>
      <w:r>
        <w:rPr>
          <w:rFonts w:ascii="Times New Roman" w:cs="Times New Roman" w:eastAsia="Times New Roman" w:hAnsi="Times New Roman"/>
          <w:b/>
          <w:bCs/>
          <w:sz w:val="24"/>
          <w:szCs w:val="24"/>
        </w:rPr>
        <w:t xml:space="preserve">4.3.2 Emotional Density Vector (EDV)</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Replaces the scalar Emotional Arousal Index with a 7-dimensional vector capturing which emotions are exploited and how:</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EDV = [f_fear, f_desire, f_guilt, f_excitement, f_loss, f_pride, f_envy]ᵀ</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fₖ = min(1, (Σⱼ match(wⱼ, Lₖ) / |W|) × ρₖ × 50)</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|EDV| = √(Σₖ fₖ²)</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EMI = |EDV| × (1 − valence_authenticity)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ρₖ weights are calibrated to psychological literature: loss aversion (ρ = 0.20) &gt; guilt (ρ = 0.18) &gt; fear (ρ = 0.15). valence_authenticity measures whether emotional charge is proportionate to actual product claims — distinguishing a genuine safety warning (high fear, high authenticity) from manipulative fear-based advertising (high fear, near-zero authenticity).</w:t>
      </w:r>
    </w:p>
    <w:p>
      <w:pPr>
        <w:pStyle w:val="Heading3"/>
        <w:spacing w:after="80" w:before="200"/>
      </w:pPr>
      <w:r>
        <w:rPr>
          <w:rFonts w:ascii="Times New Roman" w:cs="Times New Roman" w:eastAsia="Times New Roman" w:hAnsi="Times New Roman"/>
          <w:b/>
          <w:bCs/>
          <w:sz w:val="24"/>
          <w:szCs w:val="24"/>
        </w:rPr>
        <w:t xml:space="preserve">4.3.3 Semantic Exaggeration Coefficient (SEC)</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Language can mislead without stating falsehoods — by using intensity words that carry no informational content. The SEC measures the ratio of semantic weight to factual content:</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SEC = semantic_weight / max(specific_claim_count, 1)</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Amplifier taxonomy: hard amplifiers ('absolutely', 'perfectly') score 0.8; superlatives ('world-class', 'best') score 0.7; vague intensifiers ('incredible', 'revolutionary') score 0.5; comparative distortions ('unlike anything') score 0.9. Interpretation: SEC &lt; 0.5 indicates language closely tracks factual claims; SEC &gt; 5.0 indicates advertising language has almost no factual grounding.</w:t>
      </w:r>
    </w:p>
    <w:p>
      <w:pPr>
        <w:pStyle w:val="Heading3"/>
        <w:spacing w:after="80" w:before="200"/>
      </w:pPr>
      <w:r>
        <w:rPr>
          <w:rFonts w:ascii="Times New Roman" w:cs="Times New Roman" w:eastAsia="Times New Roman" w:hAnsi="Times New Roman"/>
          <w:b/>
          <w:bCs/>
          <w:sz w:val="24"/>
          <w:szCs w:val="24"/>
        </w:rPr>
        <w:t xml:space="preserve">4.3.4 Psychological Entropy Score (H_ψ)</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most theoretically original contribution. Applying Shannon (1948) information theory to the consumer decision space: before exposure to an advertisement, a consumer has K decision options approximately uniformly distributed (buy, wait, compare alternatives, research, ignore, seek advice). A manipulative advertisement biases this distribution.</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H_max = log₂(K),   K = 6 decision options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H_ψ = −Σₖ P'(dₖ|ad) · log₂ P'(dₖ|ad)</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H_ψ_score = 1 − (H_ψ / H_max)  ∈ [0, 1]</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Each detected persuasion technique shifts probability mass from non-purchase options toward purchase. Urgency eliminates 'wait and think' (Δp = 0.35); FOMO eliminates 'ignore for now' (Δp = 0.40). H_ψ_score = 0 indicates complete decision freedom; H_ψ_score = 1 indicates complete decision compression.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Key property (Theorem 3 in §6): H_ψ is subadditive in manipulation techniques — adding a seventh technique to an already saturated advertisement has diminishing entropy reduction. This correctly models psychological saturation and emerges naturally from the entropy formula.</w:t>
      </w:r>
    </w:p>
    <w:p>
      <w:pPr>
        <w:pStyle w:val="Heading3"/>
        <w:spacing w:after="80" w:before="200"/>
      </w:pPr>
      <w:r>
        <w:rPr>
          <w:rFonts w:ascii="Times New Roman" w:cs="Times New Roman" w:eastAsia="Times New Roman" w:hAnsi="Times New Roman"/>
          <w:b/>
          <w:bCs/>
          <w:sz w:val="24"/>
          <w:szCs w:val="24"/>
        </w:rPr>
        <w:t xml:space="preserve">4.3.5 Enhanced Manipulation Pressure Index (MPI)</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MPI = PI_effective × (1 + β·LPS + γ·SEC_normalized)</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β = 0.3,  γ = 0.2,  SEC_normalized = min(1, SEC/5)</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Two advertisements can both trigger urgency and scarcity (same PI_base), but if one uses extreme linguistic pressure and semantic exaggeration, MPI correctly scores it higher. The original PI formula misses this intensity dimension.</w:t>
      </w:r>
    </w:p>
    <w:p>
      <w:pPr>
        <w:pStyle w:val="Heading2"/>
        <w:spacing w:after="120" w:before="280"/>
      </w:pPr>
      <w:r>
        <w:rPr>
          <w:rFonts w:ascii="Times New Roman" w:cs="Times New Roman" w:eastAsia="Times New Roman" w:hAnsi="Times New Roman"/>
          <w:b/>
          <w:bCs/>
          <w:i/>
          <w:iCs/>
          <w:sz w:val="24"/>
          <w:szCs w:val="24"/>
        </w:rPr>
        <w:t xml:space="preserve">4.4 PAVE-C v2.0 Final Score</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DRS_v2 = 0.28·MPI + 0.22·(1−VI) + 0.18·(1−AS) + 0.18·H_ψ_score + 0.14·SEC_normalized</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CBF_v2 = (|EDV| + CLF) / 2</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TS_NTI = (1 − DRS_v2) × (1 − CBF_v2) × 100</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multiplicative structure is the critical design choice. A linear combination would imply emotional suppression and deceptive content add independently. The multiplicative model correctly captures that cognitive bypass amplifies the effect of deception.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Weight justification: MPI (0.28) is primary driver, enhanced by LPS and SEC. VI (0.22) reflects that unverifiable claims are the core of advertising deception. AS (0.18) captures fabricated authenticity. H_ψ (0.18) is theoretically novel and grounded. SEC (0.14) penalizes semantic inflation. Weights sum to 1.00.</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5. The Unified Framework</w:t>
      </w:r>
    </w:p>
    <w:p>
      <w:pPr>
        <w:pStyle w:val="Heading2"/>
        <w:spacing w:after="120" w:before="280"/>
      </w:pPr>
      <w:r>
        <w:rPr>
          <w:rFonts w:ascii="Times New Roman" w:cs="Times New Roman" w:eastAsia="Times New Roman" w:hAnsi="Times New Roman"/>
          <w:b/>
          <w:bCs/>
          <w:i/>
          <w:iCs/>
          <w:sz w:val="24"/>
          <w:szCs w:val="24"/>
        </w:rPr>
        <w:t xml:space="preserve">5.1 The 2D Commercial Trust Space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Combining ATE and NTI-AD AI defines a two-dimensional space where every commercial interaction can be located:</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200"/>
        <w:tblBorders>
          <w:top w:val="single" w:color="444444" w:sz="4"/>
          <w:left w:val="single" w:color="444444" w:sz="4"/>
          <w:bottom w:val="single" w:color="444444" w:sz="4"/>
          <w:right w:val="single" w:color="444444" w:sz="4"/>
          <w:insideH w:val="single" w:color="auto" w:sz="4"/>
          <w:insideV w:val="single" w:color="auto" w:sz="4"/>
        </w:tblBorders>
      </w:tblPr>
      <w:tblGrid>
        <w:gridCol w:w="100"/>
        <w:gridCol w:w="100"/>
        <w:gridCol w:w="100"/>
      </w:tblGrid>
      <w:tr>
        <w:trPr>
          <w:tblHeader/>
        </w:trPr>
        <w:tc>
          <w:tcPr>
            <w:shd w:fill="1a1a2e" w:color="1a1a2e" w:val="solid"/>
          </w:tcPr>
          <w:p>
            <w:pPr>
              <w:spacing w:after="60" w:before="60"/>
            </w:pPr>
            <w:r>
              <w:rPr>
                <w:rFonts w:ascii="Times New Roman" w:cs="Times New Roman" w:eastAsia="Times New Roman" w:hAnsi="Times New Roman"/>
                <w:b/>
                <w:bCs/>
                <w:color w:val="ffffff"/>
                <w:sz w:val="20"/>
                <w:szCs w:val="20"/>
              </w:rPr>
              <w:t xml:space="preserve"/>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High TS_NTI (≥ 35)</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Low TS_NTI (&lt; 35)</w:t>
            </w:r>
          </w:p>
        </w:tc>
      </w:tr>
      <w:tr>
        <w:tc>
          <w:tcPr>
            <w:shd w:fill="f8f8f8" w:color="f8f8f8" w:val="solid"/>
          </w:tcPr>
          <w:p>
            <w:pPr>
              <w:spacing w:after="50" w:before="50"/>
            </w:pPr>
            <w:r>
              <w:rPr>
                <w:rFonts w:ascii="Times New Roman" w:cs="Times New Roman" w:eastAsia="Times New Roman" w:hAnsi="Times New Roman"/>
                <w:sz w:val="20"/>
                <w:szCs w:val="20"/>
              </w:rPr>
              <w:t xml:space="preserve">High ATE (≥ 50)</w:t>
            </w:r>
          </w:p>
        </w:tc>
        <w:tc>
          <w:tcPr>
            <w:shd w:fill="f8f8f8" w:color="f8f8f8" w:val="solid"/>
          </w:tcPr>
          <w:p>
            <w:pPr>
              <w:spacing w:after="50" w:before="50"/>
            </w:pPr>
            <w:r>
              <w:rPr>
                <w:rFonts w:ascii="Times New Roman" w:cs="Times New Roman" w:eastAsia="Times New Roman" w:hAnsi="Times New Roman"/>
                <w:sz w:val="20"/>
                <w:szCs w:val="20"/>
              </w:rPr>
              <w:t xml:space="preserve">Quadrant I: Verified Honest
Genuine product, transparent advertising. The only fully trustworthy configuration.</w:t>
            </w:r>
          </w:p>
        </w:tc>
        <w:tc>
          <w:tcPr>
            <w:shd w:fill="f8f8f8" w:color="f8f8f8" w:val="solid"/>
          </w:tcPr>
          <w:p>
            <w:pPr>
              <w:spacing w:after="50" w:before="50"/>
            </w:pPr>
            <w:r>
              <w:rPr>
                <w:rFonts w:ascii="Times New Roman" w:cs="Times New Roman" w:eastAsia="Times New Roman" w:hAnsi="Times New Roman"/>
                <w:sz w:val="20"/>
                <w:szCs w:val="20"/>
              </w:rPr>
              <w:t xml:space="preserve">Quadrant II: Honest Product, Manipulative Ad
Product claims are real but advertising uses psychological manipulation. High AID. The most common dangerous configuration in FMCG.</w:t>
            </w:r>
          </w:p>
        </w:tc>
      </w:tr>
      <w:tr>
        <w:tc>
          <w:tcPr>
            <w:shd w:fill="ffffff" w:color="ffffff" w:val="solid"/>
          </w:tcPr>
          <w:p>
            <w:pPr>
              <w:spacing w:after="50" w:before="50"/>
            </w:pPr>
            <w:r>
              <w:rPr>
                <w:rFonts w:ascii="Times New Roman" w:cs="Times New Roman" w:eastAsia="Times New Roman" w:hAnsi="Times New Roman"/>
                <w:sz w:val="20"/>
                <w:szCs w:val="20"/>
              </w:rPr>
              <w:t xml:space="preserve">Low ATE (&lt; 50)</w:t>
            </w:r>
          </w:p>
        </w:tc>
        <w:tc>
          <w:tcPr>
            <w:shd w:fill="ffffff" w:color="ffffff" w:val="solid"/>
          </w:tcPr>
          <w:p>
            <w:pPr>
              <w:spacing w:after="50" w:before="50"/>
            </w:pPr>
            <w:r>
              <w:rPr>
                <w:rFonts w:ascii="Times New Roman" w:cs="Times New Roman" w:eastAsia="Times New Roman" w:hAnsi="Times New Roman"/>
                <w:sz w:val="20"/>
                <w:szCs w:val="20"/>
              </w:rPr>
              <w:t xml:space="preserve">Quadrant III: Fake Product, Transparent Ad
Rare. Product falls short of claims but advertising makes no manipulative attempt to obscure this.</w:t>
            </w:r>
          </w:p>
        </w:tc>
        <w:tc>
          <w:tcPr>
            <w:shd w:fill="ffffff" w:color="ffffff" w:val="solid"/>
          </w:tcPr>
          <w:p>
            <w:pPr>
              <w:spacing w:after="50" w:before="50"/>
            </w:pPr>
            <w:r>
              <w:rPr>
                <w:rFonts w:ascii="Times New Roman" w:cs="Times New Roman" w:eastAsia="Times New Roman" w:hAnsi="Times New Roman"/>
                <w:sz w:val="20"/>
                <w:szCs w:val="20"/>
              </w:rPr>
              <w:t xml:space="preserve">Quadrant IV: Doubly Deceptive
Product claims are false AND advertising is psychologically manipulative. Maximum consumer harm.</w:t>
            </w:r>
          </w:p>
        </w:tc>
      </w:tr>
    </w:tbl>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Quadrant II is the central finding of this paper. It represents a configuration invisible to product-only verification (ATE would rate such a vendor highly) and invisible to ad-only transparency tools (which evaluate factual accuracy, not psychological technique). Only the unified framework reveals it. The Indian case studies in §7 demonstrate that Quadrant II dominates FMCG advertising in the Indian market.</w:t>
      </w:r>
    </w:p>
    <w:p>
      <w:pPr>
        <w:pStyle w:val="Heading2"/>
        <w:spacing w:after="120" w:before="280"/>
      </w:pPr>
      <w:r>
        <w:rPr>
          <w:rFonts w:ascii="Times New Roman" w:cs="Times New Roman" w:eastAsia="Times New Roman" w:hAnsi="Times New Roman"/>
          <w:b/>
          <w:bCs/>
          <w:i/>
          <w:iCs/>
          <w:sz w:val="24"/>
          <w:szCs w:val="24"/>
        </w:rPr>
        <w:t xml:space="preserve">5.2 The Unified Trust Index (UTI)</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UTI = ATE_Score × (TS_NTI / 100)    UTI ∈ [0, 100]</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multiplicative integration ensures that neither dimension alone is sufficient. A vendor with ATE = 95 and TS_NTI = 10 receives UTI = 9.5 — correctly reflecting that despite having a genuine product, the advertising is so manipulative that overall trust is minimal.</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 linear combination would give the same vendor a score of 52.5 — misleadingly moderate. The multiplicative form penalizes asymmetric cases more severely, which correctly reflects the consumer harm model: being psychologically manipulated into buying even a genuine product is still being manipulated.</w:t>
      </w:r>
    </w:p>
    <w:p>
      <w:pPr>
        <w:pStyle w:val="Heading2"/>
        <w:spacing w:after="120" w:before="280"/>
      </w:pPr>
      <w:r>
        <w:rPr>
          <w:rFonts w:ascii="Times New Roman" w:cs="Times New Roman" w:eastAsia="Times New Roman" w:hAnsi="Times New Roman"/>
          <w:b/>
          <w:bCs/>
          <w:i/>
          <w:iCs/>
          <w:sz w:val="24"/>
          <w:szCs w:val="24"/>
        </w:rPr>
        <w:t xml:space="preserve">5.3 The Advertising Integrity Deficit (AID)</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AID = ATE_Score − UTI = ATE_Score × (1 − TS_NTI/100)</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AID is a diagnostic, not a penalty: it identifies specifically where the trust breakdown is occurring. AID = 0 when advertising is perfectly transparent (TS_NTI = 100) or the product is completely dishonest (ATE = 0). AID is maximized when a genuine high-quality product is sold through maximally manipulative advertising.</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200"/>
        <w:tblBorders>
          <w:top w:val="single" w:color="444444" w:sz="4"/>
          <w:left w:val="single" w:color="444444" w:sz="4"/>
          <w:bottom w:val="single" w:color="444444" w:sz="4"/>
          <w:right w:val="single" w:color="444444" w:sz="4"/>
          <w:insideH w:val="single" w:color="auto" w:sz="4"/>
          <w:insideV w:val="single" w:color="auto" w:sz="4"/>
        </w:tblBorders>
      </w:tblPr>
      <w:tblGrid>
        <w:gridCol w:w="100"/>
        <w:gridCol w:w="100"/>
      </w:tblGrid>
      <w:tr>
        <w:trPr>
          <w:tblHeader/>
        </w:trPr>
        <w:tc>
          <w:tcPr>
            <w:shd w:fill="1a1a2e" w:color="1a1a2e" w:val="solid"/>
          </w:tcPr>
          <w:p>
            <w:pPr>
              <w:spacing w:after="60" w:before="60"/>
            </w:pPr>
            <w:r>
              <w:rPr>
                <w:rFonts w:ascii="Times New Roman" w:cs="Times New Roman" w:eastAsia="Times New Roman" w:hAnsi="Times New Roman"/>
                <w:b/>
                <w:bCs/>
                <w:color w:val="ffffff"/>
                <w:sz w:val="20"/>
                <w:szCs w:val="20"/>
              </w:rPr>
              <w:t xml:space="preserve">AID Range</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Interpretation</w:t>
            </w:r>
          </w:p>
        </w:tc>
      </w:tr>
      <w:tr>
        <w:tc>
          <w:tcPr>
            <w:shd w:fill="f8f8f8" w:color="f8f8f8" w:val="solid"/>
          </w:tcPr>
          <w:p>
            <w:pPr>
              <w:spacing w:after="50" w:before="50"/>
            </w:pPr>
            <w:r>
              <w:rPr>
                <w:rFonts w:ascii="Times New Roman" w:cs="Times New Roman" w:eastAsia="Times New Roman" w:hAnsi="Times New Roman"/>
                <w:sz w:val="20"/>
                <w:szCs w:val="20"/>
              </w:rPr>
              <w:t xml:space="preserve">0 — 10</w:t>
            </w:r>
          </w:p>
        </w:tc>
        <w:tc>
          <w:tcPr>
            <w:shd w:fill="f8f8f8" w:color="f8f8f8" w:val="solid"/>
          </w:tcPr>
          <w:p>
            <w:pPr>
              <w:spacing w:after="50" w:before="50"/>
            </w:pPr>
            <w:r>
              <w:rPr>
                <w:rFonts w:ascii="Times New Roman" w:cs="Times New Roman" w:eastAsia="Times New Roman" w:hAnsi="Times New Roman"/>
                <w:sz w:val="20"/>
                <w:szCs w:val="20"/>
              </w:rPr>
              <w:t xml:space="preserve">Advertising integrity aligned with product quality</w:t>
            </w:r>
          </w:p>
        </w:tc>
      </w:tr>
      <w:tr>
        <w:tc>
          <w:tcPr>
            <w:shd w:fill="ffffff" w:color="ffffff" w:val="solid"/>
          </w:tcPr>
          <w:p>
            <w:pPr>
              <w:spacing w:after="50" w:before="50"/>
            </w:pPr>
            <w:r>
              <w:rPr>
                <w:rFonts w:ascii="Times New Roman" w:cs="Times New Roman" w:eastAsia="Times New Roman" w:hAnsi="Times New Roman"/>
                <w:sz w:val="20"/>
                <w:szCs w:val="20"/>
              </w:rPr>
              <w:t xml:space="preserve">10 — 30</w:t>
            </w:r>
          </w:p>
        </w:tc>
        <w:tc>
          <w:tcPr>
            <w:shd w:fill="ffffff" w:color="ffffff" w:val="solid"/>
          </w:tcPr>
          <w:p>
            <w:pPr>
              <w:spacing w:after="50" w:before="50"/>
            </w:pPr>
            <w:r>
              <w:rPr>
                <w:rFonts w:ascii="Times New Roman" w:cs="Times New Roman" w:eastAsia="Times New Roman" w:hAnsi="Times New Roman"/>
                <w:sz w:val="20"/>
                <w:szCs w:val="20"/>
              </w:rPr>
              <w:t xml:space="preserve">Minor advertising pressure beyond product reality</w:t>
            </w:r>
          </w:p>
        </w:tc>
      </w:tr>
      <w:tr>
        <w:tc>
          <w:tcPr>
            <w:shd w:fill="f8f8f8" w:color="f8f8f8" w:val="solid"/>
          </w:tcPr>
          <w:p>
            <w:pPr>
              <w:spacing w:after="50" w:before="50"/>
            </w:pPr>
            <w:r>
              <w:rPr>
                <w:rFonts w:ascii="Times New Roman" w:cs="Times New Roman" w:eastAsia="Times New Roman" w:hAnsi="Times New Roman"/>
                <w:sz w:val="20"/>
                <w:szCs w:val="20"/>
              </w:rPr>
              <w:t xml:space="preserve">30 — 60</w:t>
            </w:r>
          </w:p>
        </w:tc>
        <w:tc>
          <w:tcPr>
            <w:shd w:fill="f8f8f8" w:color="f8f8f8" w:val="solid"/>
          </w:tcPr>
          <w:p>
            <w:pPr>
              <w:spacing w:after="50" w:before="50"/>
            </w:pPr>
            <w:r>
              <w:rPr>
                <w:rFonts w:ascii="Times New Roman" w:cs="Times New Roman" w:eastAsia="Times New Roman" w:hAnsi="Times New Roman"/>
                <w:sz w:val="20"/>
                <w:szCs w:val="20"/>
              </w:rPr>
              <w:t xml:space="preserve">Significant manipulation: product is better than how it is being sold</w:t>
            </w:r>
          </w:p>
        </w:tc>
      </w:tr>
      <w:tr>
        <w:tc>
          <w:tcPr>
            <w:shd w:fill="ffffff" w:color="ffffff" w:val="solid"/>
          </w:tcPr>
          <w:p>
            <w:pPr>
              <w:spacing w:after="50" w:before="50"/>
            </w:pPr>
            <w:r>
              <w:rPr>
                <w:rFonts w:ascii="Times New Roman" w:cs="Times New Roman" w:eastAsia="Times New Roman" w:hAnsi="Times New Roman"/>
                <w:sz w:val="20"/>
                <w:szCs w:val="20"/>
              </w:rPr>
              <w:t xml:space="preserve">60 — 100</w:t>
            </w:r>
          </w:p>
        </w:tc>
        <w:tc>
          <w:tcPr>
            <w:shd w:fill="ffffff" w:color="ffffff" w:val="solid"/>
          </w:tcPr>
          <w:p>
            <w:pPr>
              <w:spacing w:after="50" w:before="50"/>
            </w:pPr>
            <w:r>
              <w:rPr>
                <w:rFonts w:ascii="Times New Roman" w:cs="Times New Roman" w:eastAsia="Times New Roman" w:hAnsi="Times New Roman"/>
                <w:sz w:val="20"/>
                <w:szCs w:val="20"/>
              </w:rPr>
              <w:t xml:space="preserve">Severe integrity deficit: genuine product hidden behind aggressive manipulation</w:t>
            </w:r>
          </w:p>
        </w:tc>
      </w:tr>
    </w:tbl>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6. Mathematical Properties</w:t>
      </w:r>
    </w:p>
    <w:p>
      <w:pPr>
        <w:pStyle w:val="Heading2"/>
        <w:spacing w:after="120" w:before="280"/>
      </w:pPr>
      <w:r>
        <w:rPr>
          <w:rFonts w:ascii="Times New Roman" w:cs="Times New Roman" w:eastAsia="Times New Roman" w:hAnsi="Times New Roman"/>
          <w:b/>
          <w:bCs/>
          <w:i/>
          <w:iCs/>
          <w:sz w:val="24"/>
          <w:szCs w:val="24"/>
        </w:rPr>
        <w:t xml:space="preserve">Theorem 1 (Monotonicity)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TS_v2 is monotonically non-increasing in each manipulation dimension. More manipulation → lower transparency score. Proof: each term in DRS_v2 is non-negative, so increasing any manipulation metric increases DRS_v2, which decreases (1−DRS_v2), which decreases TS_v2. □</w:t>
      </w:r>
    </w:p>
    <w:p>
      <w:pPr>
        <w:pStyle w:val="Heading2"/>
        <w:spacing w:after="120" w:before="280"/>
      </w:pPr>
      <w:r>
        <w:rPr>
          <w:rFonts w:ascii="Times New Roman" w:cs="Times New Roman" w:eastAsia="Times New Roman" w:hAnsi="Times New Roman"/>
          <w:b/>
          <w:bCs/>
          <w:i/>
          <w:iCs/>
          <w:sz w:val="24"/>
          <w:szCs w:val="24"/>
        </w:rPr>
        <w:t xml:space="preserve">Theorem 2 (Boundary Cases)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Perfect honesty (MPI=0, VI=1, AS=1, H_ψ=0, SEC=0, |EDV|=0, CLF=0) → TS_v2 = 100. Maximum manipulation (all terms at maximum) → TS_v2 = 0. Proof follows directly from the formulation of DRS_v2 and CBF_v2. □</w:t>
      </w:r>
    </w:p>
    <w:p>
      <w:pPr>
        <w:pStyle w:val="Heading2"/>
        <w:spacing w:after="120" w:before="280"/>
      </w:pPr>
      <w:r>
        <w:rPr>
          <w:rFonts w:ascii="Times New Roman" w:cs="Times New Roman" w:eastAsia="Times New Roman" w:hAnsi="Times New Roman"/>
          <w:b/>
          <w:bCs/>
          <w:i/>
          <w:iCs/>
          <w:sz w:val="24"/>
          <w:szCs w:val="24"/>
        </w:rPr>
        <w:t xml:space="preserve">Theorem 3 (Entropy Subadditivity)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H_ψ_score is subadditive in individual techniques — adding a technique to an already maximally manipulative advertisement has diminishing marginal entropy reduction. This emerges naturally from the entropy formula and correctly models psychological saturation. Proof: as pBuy → 0.92 (practical maximum), the KL divergence from the uniform prior saturates, meaning additional techniques produce smaller incremental changes in H_ψ. □</w:t>
      </w:r>
    </w:p>
    <w:p>
      <w:pPr>
        <w:pStyle w:val="Heading2"/>
        <w:spacing w:after="120" w:before="280"/>
      </w:pPr>
      <w:r>
        <w:rPr>
          <w:rFonts w:ascii="Times New Roman" w:cs="Times New Roman" w:eastAsia="Times New Roman" w:hAnsi="Times New Roman"/>
          <w:b/>
          <w:bCs/>
          <w:i/>
          <w:iCs/>
          <w:sz w:val="24"/>
          <w:szCs w:val="24"/>
        </w:rPr>
        <w:t xml:space="preserve">Dual-Process Mapping</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Each metric maps to a distinct cognitive mechanism:</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200"/>
        <w:tblBorders>
          <w:top w:val="single" w:color="444444" w:sz="4"/>
          <w:left w:val="single" w:color="444444" w:sz="4"/>
          <w:bottom w:val="single" w:color="444444" w:sz="4"/>
          <w:right w:val="single" w:color="444444" w:sz="4"/>
          <w:insideH w:val="single" w:color="auto" w:sz="4"/>
          <w:insideV w:val="single" w:color="auto" w:sz="4"/>
        </w:tblBorders>
      </w:tblPr>
      <w:tblGrid>
        <w:gridCol w:w="100"/>
        <w:gridCol w:w="100"/>
        <w:gridCol w:w="100"/>
      </w:tblGrid>
      <w:tr>
        <w:trPr>
          <w:tblHeader/>
        </w:trPr>
        <w:tc>
          <w:tcPr>
            <w:shd w:fill="1a1a2e" w:color="1a1a2e" w:val="solid"/>
          </w:tcPr>
          <w:p>
            <w:pPr>
              <w:spacing w:after="60" w:before="60"/>
            </w:pPr>
            <w:r>
              <w:rPr>
                <w:rFonts w:ascii="Times New Roman" w:cs="Times New Roman" w:eastAsia="Times New Roman" w:hAnsi="Times New Roman"/>
                <w:b/>
                <w:bCs/>
                <w:color w:val="ffffff"/>
                <w:sz w:val="20"/>
                <w:szCs w:val="20"/>
              </w:rPr>
              <w:t xml:space="preserve">Metric</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Cognitive Target</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Kahneman System</w:t>
            </w:r>
          </w:p>
        </w:tc>
      </w:tr>
      <w:tr>
        <w:tc>
          <w:tcPr>
            <w:shd w:fill="f8f8f8" w:color="f8f8f8" w:val="solid"/>
          </w:tcPr>
          <w:p>
            <w:pPr>
              <w:spacing w:after="50" w:before="50"/>
            </w:pPr>
            <w:r>
              <w:rPr>
                <w:rFonts w:ascii="Times New Roman" w:cs="Times New Roman" w:eastAsia="Times New Roman" w:hAnsi="Times New Roman"/>
                <w:sz w:val="20"/>
                <w:szCs w:val="20"/>
              </w:rPr>
              <w:t xml:space="preserve">LPS</w:t>
            </w:r>
          </w:p>
        </w:tc>
        <w:tc>
          <w:tcPr>
            <w:shd w:fill="f8f8f8" w:color="f8f8f8" w:val="solid"/>
          </w:tcPr>
          <w:p>
            <w:pPr>
              <w:spacing w:after="50" w:before="50"/>
            </w:pPr>
            <w:r>
              <w:rPr>
                <w:rFonts w:ascii="Times New Roman" w:cs="Times New Roman" w:eastAsia="Times New Roman" w:hAnsi="Times New Roman"/>
                <w:sz w:val="20"/>
                <w:szCs w:val="20"/>
              </w:rPr>
              <w:t xml:space="preserve">Reduces reflection time by applying linguistic force</w:t>
            </w:r>
          </w:p>
        </w:tc>
        <w:tc>
          <w:tcPr>
            <w:shd w:fill="f8f8f8" w:color="f8f8f8" w:val="solid"/>
          </w:tcPr>
          <w:p>
            <w:pPr>
              <w:spacing w:after="50" w:before="50"/>
            </w:pPr>
            <w:r>
              <w:rPr>
                <w:rFonts w:ascii="Times New Roman" w:cs="Times New Roman" w:eastAsia="Times New Roman" w:hAnsi="Times New Roman"/>
                <w:sz w:val="20"/>
                <w:szCs w:val="20"/>
              </w:rPr>
              <w:t xml:space="preserve">System 2 suppression</w:t>
            </w:r>
          </w:p>
        </w:tc>
      </w:tr>
      <w:tr>
        <w:tc>
          <w:tcPr>
            <w:shd w:fill="ffffff" w:color="ffffff" w:val="solid"/>
          </w:tcPr>
          <w:p>
            <w:pPr>
              <w:spacing w:after="50" w:before="50"/>
            </w:pPr>
            <w:r>
              <w:rPr>
                <w:rFonts w:ascii="Times New Roman" w:cs="Times New Roman" w:eastAsia="Times New Roman" w:hAnsi="Times New Roman"/>
                <w:sz w:val="20"/>
                <w:szCs w:val="20"/>
              </w:rPr>
              <w:t xml:space="preserve">EDV</w:t>
            </w:r>
          </w:p>
        </w:tc>
        <w:tc>
          <w:tcPr>
            <w:shd w:fill="ffffff" w:color="ffffff" w:val="solid"/>
          </w:tcPr>
          <w:p>
            <w:pPr>
              <w:spacing w:after="50" w:before="50"/>
            </w:pPr>
            <w:r>
              <w:rPr>
                <w:rFonts w:ascii="Times New Roman" w:cs="Times New Roman" w:eastAsia="Times New Roman" w:hAnsi="Times New Roman"/>
                <w:sz w:val="20"/>
                <w:szCs w:val="20"/>
              </w:rPr>
              <w:t xml:space="preserve">Emotional hijacking of evaluative capacity</w:t>
            </w:r>
          </w:p>
        </w:tc>
        <w:tc>
          <w:tcPr>
            <w:shd w:fill="ffffff" w:color="ffffff" w:val="solid"/>
          </w:tcPr>
          <w:p>
            <w:pPr>
              <w:spacing w:after="50" w:before="50"/>
            </w:pPr>
            <w:r>
              <w:rPr>
                <w:rFonts w:ascii="Times New Roman" w:cs="Times New Roman" w:eastAsia="Times New Roman" w:hAnsi="Times New Roman"/>
                <w:sz w:val="20"/>
                <w:szCs w:val="20"/>
              </w:rPr>
              <w:t xml:space="preserve">System 1 activation</w:t>
            </w:r>
          </w:p>
        </w:tc>
      </w:tr>
      <w:tr>
        <w:tc>
          <w:tcPr>
            <w:shd w:fill="f8f8f8" w:color="f8f8f8" w:val="solid"/>
          </w:tcPr>
          <w:p>
            <w:pPr>
              <w:spacing w:after="50" w:before="50"/>
            </w:pPr>
            <w:r>
              <w:rPr>
                <w:rFonts w:ascii="Times New Roman" w:cs="Times New Roman" w:eastAsia="Times New Roman" w:hAnsi="Times New Roman"/>
                <w:sz w:val="20"/>
                <w:szCs w:val="20"/>
              </w:rPr>
              <w:t xml:space="preserve">SEC</w:t>
            </w:r>
          </w:p>
        </w:tc>
        <w:tc>
          <w:tcPr>
            <w:shd w:fill="f8f8f8" w:color="f8f8f8" w:val="solid"/>
          </w:tcPr>
          <w:p>
            <w:pPr>
              <w:spacing w:after="50" w:before="50"/>
            </w:pPr>
            <w:r>
              <w:rPr>
                <w:rFonts w:ascii="Times New Roman" w:cs="Times New Roman" w:eastAsia="Times New Roman" w:hAnsi="Times New Roman"/>
                <w:sz w:val="20"/>
                <w:szCs w:val="20"/>
              </w:rPr>
              <w:t xml:space="preserve">Inflates perceived value beyond evidential warrant</w:t>
            </w:r>
          </w:p>
        </w:tc>
        <w:tc>
          <w:tcPr>
            <w:shd w:fill="f8f8f8" w:color="f8f8f8" w:val="solid"/>
          </w:tcPr>
          <w:p>
            <w:pPr>
              <w:spacing w:after="50" w:before="50"/>
            </w:pPr>
            <w:r>
              <w:rPr>
                <w:rFonts w:ascii="Times New Roman" w:cs="Times New Roman" w:eastAsia="Times New Roman" w:hAnsi="Times New Roman"/>
                <w:sz w:val="20"/>
                <w:szCs w:val="20"/>
              </w:rPr>
              <w:t xml:space="preserve">System 1 heuristic exploitation</w:t>
            </w:r>
          </w:p>
        </w:tc>
      </w:tr>
      <w:tr>
        <w:tc>
          <w:tcPr>
            <w:shd w:fill="ffffff" w:color="ffffff" w:val="solid"/>
          </w:tcPr>
          <w:p>
            <w:pPr>
              <w:spacing w:after="50" w:before="50"/>
            </w:pPr>
            <w:r>
              <w:rPr>
                <w:rFonts w:ascii="Times New Roman" w:cs="Times New Roman" w:eastAsia="Times New Roman" w:hAnsi="Times New Roman"/>
                <w:sz w:val="20"/>
                <w:szCs w:val="20"/>
              </w:rPr>
              <w:t xml:space="preserve">H_ψ</w:t>
            </w:r>
          </w:p>
        </w:tc>
        <w:tc>
          <w:tcPr>
            <w:shd w:fill="ffffff" w:color="ffffff" w:val="solid"/>
          </w:tcPr>
          <w:p>
            <w:pPr>
              <w:spacing w:after="50" w:before="50"/>
            </w:pPr>
            <w:r>
              <w:rPr>
                <w:rFonts w:ascii="Times New Roman" w:cs="Times New Roman" w:eastAsia="Times New Roman" w:hAnsi="Times New Roman"/>
                <w:sz w:val="20"/>
                <w:szCs w:val="20"/>
              </w:rPr>
              <w:t xml:space="preserve">Closes decision space, funneling toward single action</w:t>
            </w:r>
          </w:p>
        </w:tc>
        <w:tc>
          <w:tcPr>
            <w:shd w:fill="ffffff" w:color="ffffff" w:val="solid"/>
          </w:tcPr>
          <w:p>
            <w:pPr>
              <w:spacing w:after="50" w:before="50"/>
            </w:pPr>
            <w:r>
              <w:rPr>
                <w:rFonts w:ascii="Times New Roman" w:cs="Times New Roman" w:eastAsia="Times New Roman" w:hAnsi="Times New Roman"/>
                <w:sz w:val="20"/>
                <w:szCs w:val="20"/>
              </w:rPr>
              <w:t xml:space="preserve">System 2 option generation</w:t>
            </w:r>
          </w:p>
        </w:tc>
      </w:tr>
      <w:tr>
        <w:tc>
          <w:tcPr>
            <w:shd w:fill="f8f8f8" w:color="f8f8f8" w:val="solid"/>
          </w:tcPr>
          <w:p>
            <w:pPr>
              <w:spacing w:after="50" w:before="50"/>
            </w:pPr>
            <w:r>
              <w:rPr>
                <w:rFonts w:ascii="Times New Roman" w:cs="Times New Roman" w:eastAsia="Times New Roman" w:hAnsi="Times New Roman"/>
                <w:sz w:val="20"/>
                <w:szCs w:val="20"/>
              </w:rPr>
              <w:t xml:space="preserve">MPI</w:t>
            </w:r>
          </w:p>
        </w:tc>
        <w:tc>
          <w:tcPr>
            <w:shd w:fill="f8f8f8" w:color="f8f8f8" w:val="solid"/>
          </w:tcPr>
          <w:p>
            <w:pPr>
              <w:spacing w:after="50" w:before="50"/>
            </w:pPr>
            <w:r>
              <w:rPr>
                <w:rFonts w:ascii="Times New Roman" w:cs="Times New Roman" w:eastAsia="Times New Roman" w:hAnsi="Times New Roman"/>
                <w:sz w:val="20"/>
                <w:szCs w:val="20"/>
              </w:rPr>
              <w:t xml:space="preserve">Stacks compliance triggers for compound effect</w:t>
            </w:r>
          </w:p>
        </w:tc>
        <w:tc>
          <w:tcPr>
            <w:shd w:fill="f8f8f8" w:color="f8f8f8" w:val="solid"/>
          </w:tcPr>
          <w:p>
            <w:pPr>
              <w:spacing w:after="50" w:before="50"/>
            </w:pPr>
            <w:r>
              <w:rPr>
                <w:rFonts w:ascii="Times New Roman" w:cs="Times New Roman" w:eastAsia="Times New Roman" w:hAnsi="Times New Roman"/>
                <w:sz w:val="20"/>
                <w:szCs w:val="20"/>
              </w:rPr>
              <w:t xml:space="preserve">System 1 automatic response</w:t>
            </w:r>
          </w:p>
        </w:tc>
      </w:tr>
    </w:tbl>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7. Applied Analysis: Indian Advertising Case Studies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We apply the unified framework to six documented cases from the Indian consumer market. All scores are framework applications derived from public regulatory records, court filings, and nutritional databases. These are not legal verdicts.</w:t>
      </w:r>
    </w:p>
    <w:p>
      <w:pPr>
        <w:pStyle w:val="Heading2"/>
        <w:spacing w:after="120" w:before="280"/>
      </w:pPr>
      <w:r>
        <w:rPr>
          <w:rFonts w:ascii="Times New Roman" w:cs="Times New Roman" w:eastAsia="Times New Roman" w:hAnsi="Times New Roman"/>
          <w:b/>
          <w:bCs/>
          <w:i/>
          <w:iCs/>
          <w:sz w:val="24"/>
          <w:szCs w:val="24"/>
        </w:rPr>
        <w:t xml:space="preserve">7.1 Vimal Pan Masala — Quadrant IV</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Advertising: Shah Rukh Khan, Ajay Devgn, and Akshay Kumar appeared in Vimal pan masala advertisements, associating celebrity success with the brand. All three actors subsequently issued public disclaimers stating they do not consume the product.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Reality: Pan masala (and its tobacco-containing gutka variant sharing the Vimal brand name) causes oral cancer. India records 1.3 lakh oral cancer cases annually — the highest in the world — with 90% linked to tobacco and areca nut use.</w:t>
      </w:r>
    </w:p>
    <w:p>
      <w:pPr>
        <w:spacing w:after="120" w:before="120" w:line="276"/>
        <w:jc w:val="both"/>
      </w:pPr>
      <w:r>
        <w:rPr>
          <w:rFonts w:ascii="Times New Roman" w:cs="Times New Roman" w:eastAsia="Times New Roman" w:hAnsi="Times New Roman"/>
          <w:b w:val="false"/>
          <w:bCs w:val="false"/>
          <w:i/>
          <w:iCs/>
          <w:color w:val="000000"/>
          <w:sz w:val="24"/>
          <w:szCs w:val="24"/>
        </w:rPr>
        <w:t xml:space="preserve">Regulatory record: ASCI complaint 2022; Ministry of Health advisory; actor public disclaimers 2022–2023.</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ATE = 5  |  NTI = 3  |  UTI = 0.15  |  AID = 4.85  |  Quadrant IV</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Child impact: Celebrity association creates social proof for tobacco-adjacent products among teenagers. The elaichi (cardamom) branding strategy — placing a 'safe' variant under the same brand as the tobacco product — is a documented regulatory circumvention technique.</w:t>
      </w:r>
    </w:p>
    <w:p>
      <w:pPr>
        <w:pStyle w:val="Heading2"/>
        <w:spacing w:after="120" w:before="280"/>
      </w:pPr>
      <w:r>
        <w:rPr>
          <w:rFonts w:ascii="Times New Roman" w:cs="Times New Roman" w:eastAsia="Times New Roman" w:hAnsi="Times New Roman"/>
          <w:b/>
          <w:bCs/>
          <w:i/>
          <w:iCs/>
          <w:sz w:val="24"/>
          <w:szCs w:val="24"/>
        </w:rPr>
        <w:t xml:space="preserve">7.2 Maggi Noodles — Quadrant IV</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Advertising: 'Mummy bhook lagi' — 'Mummy I'm hungry' — positioned Maggi as a nutritious, safe, convenient family food consumed daily by Indian children for decades. The campaign directly conditioned children's hunger-response to the brand by name.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Reality: June 2015 FSSAI laboratory tests found lead content at 7× the permissible limit. Monosodium glutamate was present despite 'no added MSG' labeling. One serving delivered 46% of a child's recommended daily sodium intake.</w:t>
      </w:r>
    </w:p>
    <w:p>
      <w:pPr>
        <w:spacing w:after="120" w:before="120" w:line="276"/>
        <w:jc w:val="both"/>
      </w:pPr>
      <w:r>
        <w:rPr>
          <w:rFonts w:ascii="Times New Roman" w:cs="Times New Roman" w:eastAsia="Times New Roman" w:hAnsi="Times New Roman"/>
          <w:b w:val="false"/>
          <w:bCs w:val="false"/>
          <w:i/>
          <w:iCs/>
          <w:color w:val="000000"/>
          <w:sz w:val="24"/>
          <w:szCs w:val="24"/>
        </w:rPr>
        <w:t xml:space="preserve">Regulatory record: FSSAI nationwide ban order June 2015; Bombay High Court proceedings; Madras High Court judgment; 9 crore packets recalled and destroyed.</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ATE = 35  |  NTI = 15  |  UTI = 5.25  |  AID = 29.75  |  Quadrant IV</w:t>
      </w:r>
    </w:p>
    <w:p>
      <w:pPr>
        <w:pStyle w:val="Heading2"/>
        <w:spacing w:after="120" w:before="280"/>
      </w:pPr>
      <w:r>
        <w:rPr>
          <w:rFonts w:ascii="Times New Roman" w:cs="Times New Roman" w:eastAsia="Times New Roman" w:hAnsi="Times New Roman"/>
          <w:b/>
          <w:bCs/>
          <w:i/>
          <w:iCs/>
          <w:sz w:val="24"/>
          <w:szCs w:val="24"/>
        </w:rPr>
        <w:t xml:space="preserve">7.3 Cadbury Bournvita — Quadrant IV</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Advertising: 'Tayyari Jeet Ki' — 'Preparation for Victory' — showed children winning athletic medals and academic accolades after daily Bournvita consumption, directly attributing championship performance to the product.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Reality: Per 100g nutritional analysis reveals 50.3g sugar — a higher sugar-to-weight ratio than Coca-Cola. NCPCR issued an official notice to Mondelez India in April 2023 demanding removal of the 'health drink' classification. Amazon India subsequently reclassified Bournvita out of the 'health drinks' product category.</w:t>
      </w:r>
    </w:p>
    <w:p>
      <w:pPr>
        <w:spacing w:after="120" w:before="120" w:line="276"/>
        <w:jc w:val="both"/>
      </w:pPr>
      <w:r>
        <w:rPr>
          <w:rFonts w:ascii="Times New Roman" w:cs="Times New Roman" w:eastAsia="Times New Roman" w:hAnsi="Times New Roman"/>
          <w:b w:val="false"/>
          <w:bCs w:val="false"/>
          <w:i/>
          <w:iCs/>
          <w:color w:val="000000"/>
          <w:sz w:val="24"/>
          <w:szCs w:val="24"/>
        </w:rPr>
        <w:t xml:space="preserve">Regulatory record: NCPCR notice April 2023; FSSAI nutritional database; Amazon India category reclassification May 2023.</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ATE = 30  |  NTI = 8  |  UTI = 2.4  |  AID = 27.6  |  Quadrant IV</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Child impact: The champion-imagery guilt mechanic made parental non-purchase psychologically costly. Parents unknowingly administered a high-sugar product daily under the belief they were providing athletic nutrition. This constitutes the specific Quadrant IV configuration most dangerous to children: both product reality and advertising honesty are compromised.</w:t>
      </w:r>
    </w:p>
    <w:p>
      <w:pPr>
        <w:pStyle w:val="Heading2"/>
        <w:spacing w:after="120" w:before="280"/>
      </w:pPr>
      <w:r>
        <w:rPr>
          <w:rFonts w:ascii="Times New Roman" w:cs="Times New Roman" w:eastAsia="Times New Roman" w:hAnsi="Times New Roman"/>
          <w:b/>
          <w:bCs/>
          <w:i/>
          <w:iCs/>
          <w:sz w:val="24"/>
          <w:szCs w:val="24"/>
        </w:rPr>
        <w:t xml:space="preserve">7.4 Horlicks — Quadrant II</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Advertising: 'The Great Family Nourisher' — directly attributed children's growth in height and improvement in academic performance to daily Horlicks consumption, with imagery of children becoming measurably taller and more intelligent.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Reality: In 2020, the UK Advertising Standards Authority ruled that GlaxoSmithKline could not claim Horlicks makes children taller or smarter — no peer-reviewed evidence supports these claims. The company quietly dropped these claims in the UK while continuing them in India for years. Per 100g: 75g carbohydrates.</w:t>
      </w:r>
    </w:p>
    <w:p>
      <w:pPr>
        <w:spacing w:after="120" w:before="120" w:line="276"/>
        <w:jc w:val="both"/>
      </w:pPr>
      <w:r>
        <w:rPr>
          <w:rFonts w:ascii="Times New Roman" w:cs="Times New Roman" w:eastAsia="Times New Roman" w:hAnsi="Times New Roman"/>
          <w:b w:val="false"/>
          <w:bCs w:val="false"/>
          <w:i/>
          <w:iCs/>
          <w:color w:val="000000"/>
          <w:sz w:val="24"/>
          <w:szCs w:val="24"/>
        </w:rPr>
        <w:t xml:space="preserve">Regulatory record: ASA UK ruling 2020; ASCI India complaint history; GlaxoSmithKline regulatory filings.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ATE = 58  |  NTI = 18  |  UTI = 10.44  |  AID = 47.56  |  Quadrant II</w:t>
      </w:r>
    </w:p>
    <w:p>
      <w:pPr>
        <w:pStyle w:val="Heading2"/>
        <w:spacing w:after="120" w:before="280"/>
      </w:pPr>
      <w:r>
        <w:rPr>
          <w:rFonts w:ascii="Times New Roman" w:cs="Times New Roman" w:eastAsia="Times New Roman" w:hAnsi="Times New Roman"/>
          <w:b/>
          <w:bCs/>
          <w:i/>
          <w:iCs/>
          <w:sz w:val="24"/>
          <w:szCs w:val="24"/>
        </w:rPr>
        <w:t xml:space="preserve">7.5 KFC India — Quadrant II</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Advertising: Television and digital advertisements consistently show burgers and chicken pieces significantly larger, more structurally perfect, and more visually appealing than the actual product. Food styling techniques include cardboard structural supports inside buns, food-safe paint applied to protein items, and macro lens photography that exaggerates apparent scale by 2–3×.</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Reality: Consumer-documented comparisons across Indian Google Maps reviews consistently describe the actual product as 40–60% smaller than advertised. The gap between advertised and actual product size is documentable but falls within accepted industry norms for food photography.</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ATE = 65  |  NTI = 14  |  UTI = 9.1  |  AID = 55.9  |  Quadrant II</w:t>
      </w:r>
    </w:p>
    <w:p>
      <w:pPr>
        <w:pStyle w:val="Heading2"/>
        <w:spacing w:after="120" w:before="280"/>
      </w:pPr>
      <w:r>
        <w:rPr>
          <w:rFonts w:ascii="Times New Roman" w:cs="Times New Roman" w:eastAsia="Times New Roman" w:hAnsi="Times New Roman"/>
          <w:b/>
          <w:bCs/>
          <w:i/>
          <w:iCs/>
          <w:sz w:val="24"/>
          <w:szCs w:val="24"/>
        </w:rPr>
        <w:t xml:space="preserve">7.6 Fair &amp; Lovely / Glow &amp; Lovely — Quadrant IV</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Advertising: Over three decades, advertisements showed a direct causal chain: dark skin → rejection, unemployment, romantic failure; application of cream → lighter skin → employment, romantic success, social acceptance. This narrative ran across hundreds of advertisements reaching hundreds of millions of Indian consumers, particularly children.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Reality: No topical cream permanently changes genetic skin tone. The scientific evidence for the causal link between skin lightening and life outcomes is zero — the link was entirely an advertising construction. In 2020, following a sustained public campaign, Hindustan Unilever renamed the product 'Glow &amp; Lovely.' The formula was unchanged.</w:t>
      </w:r>
    </w:p>
    <w:p>
      <w:pPr>
        <w:spacing w:after="120" w:before="120" w:line="276"/>
        <w:jc w:val="both"/>
      </w:pPr>
      <w:r>
        <w:rPr>
          <w:rFonts w:ascii="Times New Roman" w:cs="Times New Roman" w:eastAsia="Times New Roman" w:hAnsi="Times New Roman"/>
          <w:b w:val="false"/>
          <w:bCs w:val="false"/>
          <w:i/>
          <w:iCs/>
          <w:color w:val="000000"/>
          <w:sz w:val="24"/>
          <w:szCs w:val="24"/>
        </w:rPr>
        <w:t xml:space="preserve">Regulatory record: Multiple ASCI complaints across 2000s–2020s; HUL press statement June 2020; public petition with over 1 million signatures.</w:t>
      </w:r>
    </w:p>
    <w:p>
      <w:pPr>
        <w:spacing w:after="80" w:before="80" w:line="276"/>
        <w:ind w:left="720"/>
        <w:jc w:val="left"/>
      </w:pPr>
      <w:r>
        <w:rPr>
          <w:rFonts w:ascii="Courier New" w:cs="Courier New" w:eastAsia="Courier New" w:hAnsi="Courier New"/>
          <w:b w:val="false"/>
          <w:bCs w:val="false"/>
          <w:i w:val="false"/>
          <w:iCs w:val="false"/>
          <w:color w:val="000000"/>
          <w:sz w:val="20"/>
          <w:szCs w:val="20"/>
        </w:rPr>
        <w:t xml:space="preserve">ATE = 20  |  NTI = 5  |  UTI = 1.0  |  AID = 19.0  |  Quadrant IV</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Child impact: Before children possessed the cognitive tools to evaluate the claim critically, decades of advertising planted the equation: dark skin = deficient = rejected. The AID of 19.0 reflects that even the product's limited efficacy is completely obscured by the psychological manipulation of the advertising.</w:t>
      </w:r>
    </w:p>
    <w:p>
      <w:pPr>
        <w:pStyle w:val="Heading2"/>
        <w:spacing w:after="120" w:before="280"/>
      </w:pPr>
      <w:r>
        <w:rPr>
          <w:rFonts w:ascii="Times New Roman" w:cs="Times New Roman" w:eastAsia="Times New Roman" w:hAnsi="Times New Roman"/>
          <w:b/>
          <w:bCs/>
          <w:i/>
          <w:iCs/>
          <w:sz w:val="24"/>
          <w:szCs w:val="24"/>
        </w:rPr>
        <w:t xml:space="preserve">7.7 Summary Table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200"/>
        <w:tblBorders>
          <w:top w:val="single" w:color="444444" w:sz="4"/>
          <w:left w:val="single" w:color="444444" w:sz="4"/>
          <w:bottom w:val="single" w:color="444444" w:sz="4"/>
          <w:right w:val="single" w:color="444444"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a1a2e" w:color="1a1a2e" w:val="solid"/>
          </w:tcPr>
          <w:p>
            <w:pPr>
              <w:spacing w:after="60" w:before="60"/>
            </w:pPr>
            <w:r>
              <w:rPr>
                <w:rFonts w:ascii="Times New Roman" w:cs="Times New Roman" w:eastAsia="Times New Roman" w:hAnsi="Times New Roman"/>
                <w:b/>
                <w:bCs/>
                <w:color w:val="ffffff"/>
                <w:sz w:val="20"/>
                <w:szCs w:val="20"/>
              </w:rPr>
              <w:t xml:space="preserve">Brand</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Category</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ATE</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NTI</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UTI</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AID</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Quadrant</w:t>
            </w:r>
          </w:p>
        </w:tc>
        <w:tc>
          <w:tcPr>
            <w:shd w:fill="1a1a2e" w:color="1a1a2e" w:val="solid"/>
          </w:tcPr>
          <w:p>
            <w:pPr>
              <w:spacing w:after="60" w:before="60"/>
            </w:pPr>
            <w:r>
              <w:rPr>
                <w:rFonts w:ascii="Times New Roman" w:cs="Times New Roman" w:eastAsia="Times New Roman" w:hAnsi="Times New Roman"/>
                <w:b/>
                <w:bCs/>
                <w:color w:val="ffffff"/>
                <w:sz w:val="20"/>
                <w:szCs w:val="20"/>
              </w:rPr>
              <w:t xml:space="preserve">Regulatory Record</w:t>
            </w:r>
          </w:p>
        </w:tc>
      </w:tr>
      <w:tr>
        <w:tc>
          <w:tcPr>
            <w:shd w:fill="f8f8f8" w:color="f8f8f8" w:val="solid"/>
          </w:tcPr>
          <w:p>
            <w:pPr>
              <w:spacing w:after="50" w:before="50"/>
            </w:pPr>
            <w:r>
              <w:rPr>
                <w:rFonts w:ascii="Times New Roman" w:cs="Times New Roman" w:eastAsia="Times New Roman" w:hAnsi="Times New Roman"/>
                <w:sz w:val="20"/>
                <w:szCs w:val="20"/>
              </w:rPr>
              <w:t xml:space="preserve">Vimal Pan Masala</w:t>
            </w:r>
          </w:p>
        </w:tc>
        <w:tc>
          <w:tcPr>
            <w:shd w:fill="f8f8f8" w:color="f8f8f8" w:val="solid"/>
          </w:tcPr>
          <w:p>
            <w:pPr>
              <w:spacing w:after="50" w:before="50"/>
            </w:pPr>
            <w:r>
              <w:rPr>
                <w:rFonts w:ascii="Times New Roman" w:cs="Times New Roman" w:eastAsia="Times New Roman" w:hAnsi="Times New Roman"/>
                <w:sz w:val="20"/>
                <w:szCs w:val="20"/>
              </w:rPr>
              <w:t xml:space="preserve">Tobacco-adjacent</w:t>
            </w:r>
          </w:p>
        </w:tc>
        <w:tc>
          <w:tcPr>
            <w:shd w:fill="f8f8f8" w:color="f8f8f8" w:val="solid"/>
          </w:tcPr>
          <w:p>
            <w:pPr>
              <w:spacing w:after="50" w:before="50"/>
            </w:pPr>
            <w:r>
              <w:rPr>
                <w:rFonts w:ascii="Times New Roman" w:cs="Times New Roman" w:eastAsia="Times New Roman" w:hAnsi="Times New Roman"/>
                <w:sz w:val="20"/>
                <w:szCs w:val="20"/>
              </w:rPr>
              <w:t xml:space="preserve">5</w:t>
            </w:r>
          </w:p>
        </w:tc>
        <w:tc>
          <w:tcPr>
            <w:shd w:fill="f8f8f8" w:color="f8f8f8" w:val="solid"/>
          </w:tcPr>
          <w:p>
            <w:pPr>
              <w:spacing w:after="50" w:before="50"/>
            </w:pPr>
            <w:r>
              <w:rPr>
                <w:rFonts w:ascii="Times New Roman" w:cs="Times New Roman" w:eastAsia="Times New Roman" w:hAnsi="Times New Roman"/>
                <w:sz w:val="20"/>
                <w:szCs w:val="20"/>
              </w:rPr>
              <w:t xml:space="preserve">3</w:t>
            </w:r>
          </w:p>
        </w:tc>
        <w:tc>
          <w:tcPr>
            <w:shd w:fill="f8f8f8" w:color="f8f8f8" w:val="solid"/>
          </w:tcPr>
          <w:p>
            <w:pPr>
              <w:spacing w:after="50" w:before="50"/>
            </w:pPr>
            <w:r>
              <w:rPr>
                <w:rFonts w:ascii="Times New Roman" w:cs="Times New Roman" w:eastAsia="Times New Roman" w:hAnsi="Times New Roman"/>
                <w:sz w:val="20"/>
                <w:szCs w:val="20"/>
              </w:rPr>
              <w:t xml:space="preserve">0.15</w:t>
            </w:r>
          </w:p>
        </w:tc>
        <w:tc>
          <w:tcPr>
            <w:shd w:fill="f8f8f8" w:color="f8f8f8" w:val="solid"/>
          </w:tcPr>
          <w:p>
            <w:pPr>
              <w:spacing w:after="50" w:before="50"/>
            </w:pPr>
            <w:r>
              <w:rPr>
                <w:rFonts w:ascii="Times New Roman" w:cs="Times New Roman" w:eastAsia="Times New Roman" w:hAnsi="Times New Roman"/>
                <w:sz w:val="20"/>
                <w:szCs w:val="20"/>
              </w:rPr>
              <w:t xml:space="preserve">4.85</w:t>
            </w:r>
          </w:p>
        </w:tc>
        <w:tc>
          <w:tcPr>
            <w:shd w:fill="f8f8f8" w:color="f8f8f8" w:val="solid"/>
          </w:tcPr>
          <w:p>
            <w:pPr>
              <w:spacing w:after="50" w:before="50"/>
            </w:pPr>
            <w:r>
              <w:rPr>
                <w:rFonts w:ascii="Times New Roman" w:cs="Times New Roman" w:eastAsia="Times New Roman" w:hAnsi="Times New Roman"/>
                <w:sz w:val="20"/>
                <w:szCs w:val="20"/>
              </w:rPr>
              <w:t xml:space="preserve">IV</w:t>
            </w:r>
          </w:p>
        </w:tc>
        <w:tc>
          <w:tcPr>
            <w:shd w:fill="f8f8f8" w:color="f8f8f8" w:val="solid"/>
          </w:tcPr>
          <w:p>
            <w:pPr>
              <w:spacing w:after="50" w:before="50"/>
            </w:pPr>
            <w:r>
              <w:rPr>
                <w:rFonts w:ascii="Times New Roman" w:cs="Times New Roman" w:eastAsia="Times New Roman" w:hAnsi="Times New Roman"/>
                <w:sz w:val="20"/>
                <w:szCs w:val="20"/>
              </w:rPr>
              <w:t xml:space="preserve">ASCI 2022</w:t>
            </w:r>
          </w:p>
        </w:tc>
      </w:tr>
      <w:tr>
        <w:tc>
          <w:tcPr>
            <w:shd w:fill="ffffff" w:color="ffffff" w:val="solid"/>
          </w:tcPr>
          <w:p>
            <w:pPr>
              <w:spacing w:after="50" w:before="50"/>
            </w:pPr>
            <w:r>
              <w:rPr>
                <w:rFonts w:ascii="Times New Roman" w:cs="Times New Roman" w:eastAsia="Times New Roman" w:hAnsi="Times New Roman"/>
                <w:sz w:val="20"/>
                <w:szCs w:val="20"/>
              </w:rPr>
              <w:t xml:space="preserve">Maggi Noodles</w:t>
            </w:r>
          </w:p>
        </w:tc>
        <w:tc>
          <w:tcPr>
            <w:shd w:fill="ffffff" w:color="ffffff" w:val="solid"/>
          </w:tcPr>
          <w:p>
            <w:pPr>
              <w:spacing w:after="50" w:before="50"/>
            </w:pPr>
            <w:r>
              <w:rPr>
                <w:rFonts w:ascii="Times New Roman" w:cs="Times New Roman" w:eastAsia="Times New Roman" w:hAnsi="Times New Roman"/>
                <w:sz w:val="20"/>
                <w:szCs w:val="20"/>
              </w:rPr>
              <w:t xml:space="preserve">Food</w:t>
            </w:r>
          </w:p>
        </w:tc>
        <w:tc>
          <w:tcPr>
            <w:shd w:fill="ffffff" w:color="ffffff" w:val="solid"/>
          </w:tcPr>
          <w:p>
            <w:pPr>
              <w:spacing w:after="50" w:before="50"/>
            </w:pPr>
            <w:r>
              <w:rPr>
                <w:rFonts w:ascii="Times New Roman" w:cs="Times New Roman" w:eastAsia="Times New Roman" w:hAnsi="Times New Roman"/>
                <w:sz w:val="20"/>
                <w:szCs w:val="20"/>
              </w:rPr>
              <w:t xml:space="preserve">35</w:t>
            </w:r>
          </w:p>
        </w:tc>
        <w:tc>
          <w:tcPr>
            <w:shd w:fill="ffffff" w:color="ffffff" w:val="solid"/>
          </w:tcPr>
          <w:p>
            <w:pPr>
              <w:spacing w:after="50" w:before="50"/>
            </w:pPr>
            <w:r>
              <w:rPr>
                <w:rFonts w:ascii="Times New Roman" w:cs="Times New Roman" w:eastAsia="Times New Roman" w:hAnsi="Times New Roman"/>
                <w:sz w:val="20"/>
                <w:szCs w:val="20"/>
              </w:rPr>
              <w:t xml:space="preserve">15</w:t>
            </w:r>
          </w:p>
        </w:tc>
        <w:tc>
          <w:tcPr>
            <w:shd w:fill="ffffff" w:color="ffffff" w:val="solid"/>
          </w:tcPr>
          <w:p>
            <w:pPr>
              <w:spacing w:after="50" w:before="50"/>
            </w:pPr>
            <w:r>
              <w:rPr>
                <w:rFonts w:ascii="Times New Roman" w:cs="Times New Roman" w:eastAsia="Times New Roman" w:hAnsi="Times New Roman"/>
                <w:sz w:val="20"/>
                <w:szCs w:val="20"/>
              </w:rPr>
              <w:t xml:space="preserve">5.25</w:t>
            </w:r>
          </w:p>
        </w:tc>
        <w:tc>
          <w:tcPr>
            <w:shd w:fill="ffffff" w:color="ffffff" w:val="solid"/>
          </w:tcPr>
          <w:p>
            <w:pPr>
              <w:spacing w:after="50" w:before="50"/>
            </w:pPr>
            <w:r>
              <w:rPr>
                <w:rFonts w:ascii="Times New Roman" w:cs="Times New Roman" w:eastAsia="Times New Roman" w:hAnsi="Times New Roman"/>
                <w:sz w:val="20"/>
                <w:szCs w:val="20"/>
              </w:rPr>
              <w:t xml:space="preserve">29.75</w:t>
            </w:r>
          </w:p>
        </w:tc>
        <w:tc>
          <w:tcPr>
            <w:shd w:fill="ffffff" w:color="ffffff" w:val="solid"/>
          </w:tcPr>
          <w:p>
            <w:pPr>
              <w:spacing w:after="50" w:before="50"/>
            </w:pPr>
            <w:r>
              <w:rPr>
                <w:rFonts w:ascii="Times New Roman" w:cs="Times New Roman" w:eastAsia="Times New Roman" w:hAnsi="Times New Roman"/>
                <w:sz w:val="20"/>
                <w:szCs w:val="20"/>
              </w:rPr>
              <w:t xml:space="preserve">IV</w:t>
            </w:r>
          </w:p>
        </w:tc>
        <w:tc>
          <w:tcPr>
            <w:shd w:fill="ffffff" w:color="ffffff" w:val="solid"/>
          </w:tcPr>
          <w:p>
            <w:pPr>
              <w:spacing w:after="50" w:before="50"/>
            </w:pPr>
            <w:r>
              <w:rPr>
                <w:rFonts w:ascii="Times New Roman" w:cs="Times New Roman" w:eastAsia="Times New Roman" w:hAnsi="Times New Roman"/>
                <w:sz w:val="20"/>
                <w:szCs w:val="20"/>
              </w:rPr>
              <w:t xml:space="preserve">FSSAI ban 2015</w:t>
            </w:r>
          </w:p>
        </w:tc>
      </w:tr>
      <w:tr>
        <w:tc>
          <w:tcPr>
            <w:shd w:fill="f8f8f8" w:color="f8f8f8" w:val="solid"/>
          </w:tcPr>
          <w:p>
            <w:pPr>
              <w:spacing w:after="50" w:before="50"/>
            </w:pPr>
            <w:r>
              <w:rPr>
                <w:rFonts w:ascii="Times New Roman" w:cs="Times New Roman" w:eastAsia="Times New Roman" w:hAnsi="Times New Roman"/>
                <w:sz w:val="20"/>
                <w:szCs w:val="20"/>
              </w:rPr>
              <w:t xml:space="preserve">Cadbury Bournvita</w:t>
            </w:r>
          </w:p>
        </w:tc>
        <w:tc>
          <w:tcPr>
            <w:shd w:fill="f8f8f8" w:color="f8f8f8" w:val="solid"/>
          </w:tcPr>
          <w:p>
            <w:pPr>
              <w:spacing w:after="50" w:before="50"/>
            </w:pPr>
            <w:r>
              <w:rPr>
                <w:rFonts w:ascii="Times New Roman" w:cs="Times New Roman" w:eastAsia="Times New Roman" w:hAnsi="Times New Roman"/>
                <w:sz w:val="20"/>
                <w:szCs w:val="20"/>
              </w:rPr>
              <w:t xml:space="preserve">Health drink</w:t>
            </w:r>
          </w:p>
        </w:tc>
        <w:tc>
          <w:tcPr>
            <w:shd w:fill="f8f8f8" w:color="f8f8f8" w:val="solid"/>
          </w:tcPr>
          <w:p>
            <w:pPr>
              <w:spacing w:after="50" w:before="50"/>
            </w:pPr>
            <w:r>
              <w:rPr>
                <w:rFonts w:ascii="Times New Roman" w:cs="Times New Roman" w:eastAsia="Times New Roman" w:hAnsi="Times New Roman"/>
                <w:sz w:val="20"/>
                <w:szCs w:val="20"/>
              </w:rPr>
              <w:t xml:space="preserve">30</w:t>
            </w:r>
          </w:p>
        </w:tc>
        <w:tc>
          <w:tcPr>
            <w:shd w:fill="f8f8f8" w:color="f8f8f8" w:val="solid"/>
          </w:tcPr>
          <w:p>
            <w:pPr>
              <w:spacing w:after="50" w:before="50"/>
            </w:pPr>
            <w:r>
              <w:rPr>
                <w:rFonts w:ascii="Times New Roman" w:cs="Times New Roman" w:eastAsia="Times New Roman" w:hAnsi="Times New Roman"/>
                <w:sz w:val="20"/>
                <w:szCs w:val="20"/>
              </w:rPr>
              <w:t xml:space="preserve">8</w:t>
            </w:r>
          </w:p>
        </w:tc>
        <w:tc>
          <w:tcPr>
            <w:shd w:fill="f8f8f8" w:color="f8f8f8" w:val="solid"/>
          </w:tcPr>
          <w:p>
            <w:pPr>
              <w:spacing w:after="50" w:before="50"/>
            </w:pPr>
            <w:r>
              <w:rPr>
                <w:rFonts w:ascii="Times New Roman" w:cs="Times New Roman" w:eastAsia="Times New Roman" w:hAnsi="Times New Roman"/>
                <w:sz w:val="20"/>
                <w:szCs w:val="20"/>
              </w:rPr>
              <w:t xml:space="preserve">2.4</w:t>
            </w:r>
          </w:p>
        </w:tc>
        <w:tc>
          <w:tcPr>
            <w:shd w:fill="f8f8f8" w:color="f8f8f8" w:val="solid"/>
          </w:tcPr>
          <w:p>
            <w:pPr>
              <w:spacing w:after="50" w:before="50"/>
            </w:pPr>
            <w:r>
              <w:rPr>
                <w:rFonts w:ascii="Times New Roman" w:cs="Times New Roman" w:eastAsia="Times New Roman" w:hAnsi="Times New Roman"/>
                <w:sz w:val="20"/>
                <w:szCs w:val="20"/>
              </w:rPr>
              <w:t xml:space="preserve">27.6</w:t>
            </w:r>
          </w:p>
        </w:tc>
        <w:tc>
          <w:tcPr>
            <w:shd w:fill="f8f8f8" w:color="f8f8f8" w:val="solid"/>
          </w:tcPr>
          <w:p>
            <w:pPr>
              <w:spacing w:after="50" w:before="50"/>
            </w:pPr>
            <w:r>
              <w:rPr>
                <w:rFonts w:ascii="Times New Roman" w:cs="Times New Roman" w:eastAsia="Times New Roman" w:hAnsi="Times New Roman"/>
                <w:sz w:val="20"/>
                <w:szCs w:val="20"/>
              </w:rPr>
              <w:t xml:space="preserve">IV</w:t>
            </w:r>
          </w:p>
        </w:tc>
        <w:tc>
          <w:tcPr>
            <w:shd w:fill="f8f8f8" w:color="f8f8f8" w:val="solid"/>
          </w:tcPr>
          <w:p>
            <w:pPr>
              <w:spacing w:after="50" w:before="50"/>
            </w:pPr>
            <w:r>
              <w:rPr>
                <w:rFonts w:ascii="Times New Roman" w:cs="Times New Roman" w:eastAsia="Times New Roman" w:hAnsi="Times New Roman"/>
                <w:sz w:val="20"/>
                <w:szCs w:val="20"/>
              </w:rPr>
              <w:t xml:space="preserve">NCPCR 2023</w:t>
            </w:r>
          </w:p>
        </w:tc>
      </w:tr>
      <w:tr>
        <w:tc>
          <w:tcPr>
            <w:shd w:fill="ffffff" w:color="ffffff" w:val="solid"/>
          </w:tcPr>
          <w:p>
            <w:pPr>
              <w:spacing w:after="50" w:before="50"/>
            </w:pPr>
            <w:r>
              <w:rPr>
                <w:rFonts w:ascii="Times New Roman" w:cs="Times New Roman" w:eastAsia="Times New Roman" w:hAnsi="Times New Roman"/>
                <w:sz w:val="20"/>
                <w:szCs w:val="20"/>
              </w:rPr>
              <w:t xml:space="preserve">Horlicks</w:t>
            </w:r>
          </w:p>
        </w:tc>
        <w:tc>
          <w:tcPr>
            <w:shd w:fill="ffffff" w:color="ffffff" w:val="solid"/>
          </w:tcPr>
          <w:p>
            <w:pPr>
              <w:spacing w:after="50" w:before="50"/>
            </w:pPr>
            <w:r>
              <w:rPr>
                <w:rFonts w:ascii="Times New Roman" w:cs="Times New Roman" w:eastAsia="Times New Roman" w:hAnsi="Times New Roman"/>
                <w:sz w:val="20"/>
                <w:szCs w:val="20"/>
              </w:rPr>
              <w:t xml:space="preserve">Health drink</w:t>
            </w:r>
          </w:p>
        </w:tc>
        <w:tc>
          <w:tcPr>
            <w:shd w:fill="ffffff" w:color="ffffff" w:val="solid"/>
          </w:tcPr>
          <w:p>
            <w:pPr>
              <w:spacing w:after="50" w:before="50"/>
            </w:pPr>
            <w:r>
              <w:rPr>
                <w:rFonts w:ascii="Times New Roman" w:cs="Times New Roman" w:eastAsia="Times New Roman" w:hAnsi="Times New Roman"/>
                <w:sz w:val="20"/>
                <w:szCs w:val="20"/>
              </w:rPr>
              <w:t xml:space="preserve">58</w:t>
            </w:r>
          </w:p>
        </w:tc>
        <w:tc>
          <w:tcPr>
            <w:shd w:fill="ffffff" w:color="ffffff" w:val="solid"/>
          </w:tcPr>
          <w:p>
            <w:pPr>
              <w:spacing w:after="50" w:before="50"/>
            </w:pPr>
            <w:r>
              <w:rPr>
                <w:rFonts w:ascii="Times New Roman" w:cs="Times New Roman" w:eastAsia="Times New Roman" w:hAnsi="Times New Roman"/>
                <w:sz w:val="20"/>
                <w:szCs w:val="20"/>
              </w:rPr>
              <w:t xml:space="preserve">18</w:t>
            </w:r>
          </w:p>
        </w:tc>
        <w:tc>
          <w:tcPr>
            <w:shd w:fill="ffffff" w:color="ffffff" w:val="solid"/>
          </w:tcPr>
          <w:p>
            <w:pPr>
              <w:spacing w:after="50" w:before="50"/>
            </w:pPr>
            <w:r>
              <w:rPr>
                <w:rFonts w:ascii="Times New Roman" w:cs="Times New Roman" w:eastAsia="Times New Roman" w:hAnsi="Times New Roman"/>
                <w:sz w:val="20"/>
                <w:szCs w:val="20"/>
              </w:rPr>
              <w:t xml:space="preserve">10.44</w:t>
            </w:r>
          </w:p>
        </w:tc>
        <w:tc>
          <w:tcPr>
            <w:shd w:fill="ffffff" w:color="ffffff" w:val="solid"/>
          </w:tcPr>
          <w:p>
            <w:pPr>
              <w:spacing w:after="50" w:before="50"/>
            </w:pPr>
            <w:r>
              <w:rPr>
                <w:rFonts w:ascii="Times New Roman" w:cs="Times New Roman" w:eastAsia="Times New Roman" w:hAnsi="Times New Roman"/>
                <w:sz w:val="20"/>
                <w:szCs w:val="20"/>
              </w:rPr>
              <w:t xml:space="preserve">47.56</w:t>
            </w:r>
          </w:p>
        </w:tc>
        <w:tc>
          <w:tcPr>
            <w:shd w:fill="ffffff" w:color="ffffff" w:val="solid"/>
          </w:tcPr>
          <w:p>
            <w:pPr>
              <w:spacing w:after="50" w:before="50"/>
            </w:pPr>
            <w:r>
              <w:rPr>
                <w:rFonts w:ascii="Times New Roman" w:cs="Times New Roman" w:eastAsia="Times New Roman" w:hAnsi="Times New Roman"/>
                <w:sz w:val="20"/>
                <w:szCs w:val="20"/>
              </w:rPr>
              <w:t xml:space="preserve">II</w:t>
            </w:r>
          </w:p>
        </w:tc>
        <w:tc>
          <w:tcPr>
            <w:shd w:fill="ffffff" w:color="ffffff" w:val="solid"/>
          </w:tcPr>
          <w:p>
            <w:pPr>
              <w:spacing w:after="50" w:before="50"/>
            </w:pPr>
            <w:r>
              <w:rPr>
                <w:rFonts w:ascii="Times New Roman" w:cs="Times New Roman" w:eastAsia="Times New Roman" w:hAnsi="Times New Roman"/>
                <w:sz w:val="20"/>
                <w:szCs w:val="20"/>
              </w:rPr>
              <w:t xml:space="preserve">ASA UK 2020</w:t>
            </w:r>
          </w:p>
        </w:tc>
      </w:tr>
      <w:tr>
        <w:tc>
          <w:tcPr>
            <w:shd w:fill="f8f8f8" w:color="f8f8f8" w:val="solid"/>
          </w:tcPr>
          <w:p>
            <w:pPr>
              <w:spacing w:after="50" w:before="50"/>
            </w:pPr>
            <w:r>
              <w:rPr>
                <w:rFonts w:ascii="Times New Roman" w:cs="Times New Roman" w:eastAsia="Times New Roman" w:hAnsi="Times New Roman"/>
                <w:sz w:val="20"/>
                <w:szCs w:val="20"/>
              </w:rPr>
              <w:t xml:space="preserve">KFC India</w:t>
            </w:r>
          </w:p>
        </w:tc>
        <w:tc>
          <w:tcPr>
            <w:shd w:fill="f8f8f8" w:color="f8f8f8" w:val="solid"/>
          </w:tcPr>
          <w:p>
            <w:pPr>
              <w:spacing w:after="50" w:before="50"/>
            </w:pPr>
            <w:r>
              <w:rPr>
                <w:rFonts w:ascii="Times New Roman" w:cs="Times New Roman" w:eastAsia="Times New Roman" w:hAnsi="Times New Roman"/>
                <w:sz w:val="20"/>
                <w:szCs w:val="20"/>
              </w:rPr>
              <w:t xml:space="preserve">QSR food</w:t>
            </w:r>
          </w:p>
        </w:tc>
        <w:tc>
          <w:tcPr>
            <w:shd w:fill="f8f8f8" w:color="f8f8f8" w:val="solid"/>
          </w:tcPr>
          <w:p>
            <w:pPr>
              <w:spacing w:after="50" w:before="50"/>
            </w:pPr>
            <w:r>
              <w:rPr>
                <w:rFonts w:ascii="Times New Roman" w:cs="Times New Roman" w:eastAsia="Times New Roman" w:hAnsi="Times New Roman"/>
                <w:sz w:val="20"/>
                <w:szCs w:val="20"/>
              </w:rPr>
              <w:t xml:space="preserve">65</w:t>
            </w:r>
          </w:p>
        </w:tc>
        <w:tc>
          <w:tcPr>
            <w:shd w:fill="f8f8f8" w:color="f8f8f8" w:val="solid"/>
          </w:tcPr>
          <w:p>
            <w:pPr>
              <w:spacing w:after="50" w:before="50"/>
            </w:pPr>
            <w:r>
              <w:rPr>
                <w:rFonts w:ascii="Times New Roman" w:cs="Times New Roman" w:eastAsia="Times New Roman" w:hAnsi="Times New Roman"/>
                <w:sz w:val="20"/>
                <w:szCs w:val="20"/>
              </w:rPr>
              <w:t xml:space="preserve">14</w:t>
            </w:r>
          </w:p>
        </w:tc>
        <w:tc>
          <w:tcPr>
            <w:shd w:fill="f8f8f8" w:color="f8f8f8" w:val="solid"/>
          </w:tcPr>
          <w:p>
            <w:pPr>
              <w:spacing w:after="50" w:before="50"/>
            </w:pPr>
            <w:r>
              <w:rPr>
                <w:rFonts w:ascii="Times New Roman" w:cs="Times New Roman" w:eastAsia="Times New Roman" w:hAnsi="Times New Roman"/>
                <w:sz w:val="20"/>
                <w:szCs w:val="20"/>
              </w:rPr>
              <w:t xml:space="preserve">9.1</w:t>
            </w:r>
          </w:p>
        </w:tc>
        <w:tc>
          <w:tcPr>
            <w:shd w:fill="f8f8f8" w:color="f8f8f8" w:val="solid"/>
          </w:tcPr>
          <w:p>
            <w:pPr>
              <w:spacing w:after="50" w:before="50"/>
            </w:pPr>
            <w:r>
              <w:rPr>
                <w:rFonts w:ascii="Times New Roman" w:cs="Times New Roman" w:eastAsia="Times New Roman" w:hAnsi="Times New Roman"/>
                <w:sz w:val="20"/>
                <w:szCs w:val="20"/>
              </w:rPr>
              <w:t xml:space="preserve">55.9</w:t>
            </w:r>
          </w:p>
        </w:tc>
        <w:tc>
          <w:tcPr>
            <w:shd w:fill="f8f8f8" w:color="f8f8f8" w:val="solid"/>
          </w:tcPr>
          <w:p>
            <w:pPr>
              <w:spacing w:after="50" w:before="50"/>
            </w:pPr>
            <w:r>
              <w:rPr>
                <w:rFonts w:ascii="Times New Roman" w:cs="Times New Roman" w:eastAsia="Times New Roman" w:hAnsi="Times New Roman"/>
                <w:sz w:val="20"/>
                <w:szCs w:val="20"/>
              </w:rPr>
              <w:t xml:space="preserve">II</w:t>
            </w:r>
          </w:p>
        </w:tc>
        <w:tc>
          <w:tcPr>
            <w:shd w:fill="f8f8f8" w:color="f8f8f8" w:val="solid"/>
          </w:tcPr>
          <w:p>
            <w:pPr>
              <w:spacing w:after="50" w:before="50"/>
            </w:pPr>
            <w:r>
              <w:rPr>
                <w:rFonts w:ascii="Times New Roman" w:cs="Times New Roman" w:eastAsia="Times New Roman" w:hAnsi="Times New Roman"/>
                <w:sz w:val="20"/>
                <w:szCs w:val="20"/>
              </w:rPr>
              <w:t xml:space="preserve">ASCI complaints</w:t>
            </w:r>
          </w:p>
        </w:tc>
      </w:tr>
      <w:tr>
        <w:tc>
          <w:tcPr>
            <w:shd w:fill="ffffff" w:color="ffffff" w:val="solid"/>
          </w:tcPr>
          <w:p>
            <w:pPr>
              <w:spacing w:after="50" w:before="50"/>
            </w:pPr>
            <w:r>
              <w:rPr>
                <w:rFonts w:ascii="Times New Roman" w:cs="Times New Roman" w:eastAsia="Times New Roman" w:hAnsi="Times New Roman"/>
                <w:sz w:val="20"/>
                <w:szCs w:val="20"/>
              </w:rPr>
              <w:t xml:space="preserve">Fair &amp; Lovely</w:t>
            </w:r>
          </w:p>
        </w:tc>
        <w:tc>
          <w:tcPr>
            <w:shd w:fill="ffffff" w:color="ffffff" w:val="solid"/>
          </w:tcPr>
          <w:p>
            <w:pPr>
              <w:spacing w:after="50" w:before="50"/>
            </w:pPr>
            <w:r>
              <w:rPr>
                <w:rFonts w:ascii="Times New Roman" w:cs="Times New Roman" w:eastAsia="Times New Roman" w:hAnsi="Times New Roman"/>
                <w:sz w:val="20"/>
                <w:szCs w:val="20"/>
              </w:rPr>
              <w:t xml:space="preserve">Beauty</w:t>
            </w:r>
          </w:p>
        </w:tc>
        <w:tc>
          <w:tcPr>
            <w:shd w:fill="ffffff" w:color="ffffff" w:val="solid"/>
          </w:tcPr>
          <w:p>
            <w:pPr>
              <w:spacing w:after="50" w:before="50"/>
            </w:pPr>
            <w:r>
              <w:rPr>
                <w:rFonts w:ascii="Times New Roman" w:cs="Times New Roman" w:eastAsia="Times New Roman" w:hAnsi="Times New Roman"/>
                <w:sz w:val="20"/>
                <w:szCs w:val="20"/>
              </w:rPr>
              <w:t xml:space="preserve">20</w:t>
            </w:r>
          </w:p>
        </w:tc>
        <w:tc>
          <w:tcPr>
            <w:shd w:fill="ffffff" w:color="ffffff" w:val="solid"/>
          </w:tcPr>
          <w:p>
            <w:pPr>
              <w:spacing w:after="50" w:before="50"/>
            </w:pPr>
            <w:r>
              <w:rPr>
                <w:rFonts w:ascii="Times New Roman" w:cs="Times New Roman" w:eastAsia="Times New Roman" w:hAnsi="Times New Roman"/>
                <w:sz w:val="20"/>
                <w:szCs w:val="20"/>
              </w:rPr>
              <w:t xml:space="preserve">5</w:t>
            </w:r>
          </w:p>
        </w:tc>
        <w:tc>
          <w:tcPr>
            <w:shd w:fill="ffffff" w:color="ffffff" w:val="solid"/>
          </w:tcPr>
          <w:p>
            <w:pPr>
              <w:spacing w:after="50" w:before="50"/>
            </w:pPr>
            <w:r>
              <w:rPr>
                <w:rFonts w:ascii="Times New Roman" w:cs="Times New Roman" w:eastAsia="Times New Roman" w:hAnsi="Times New Roman"/>
                <w:sz w:val="20"/>
                <w:szCs w:val="20"/>
              </w:rPr>
              <w:t xml:space="preserve">1.0</w:t>
            </w:r>
          </w:p>
        </w:tc>
        <w:tc>
          <w:tcPr>
            <w:shd w:fill="ffffff" w:color="ffffff" w:val="solid"/>
          </w:tcPr>
          <w:p>
            <w:pPr>
              <w:spacing w:after="50" w:before="50"/>
            </w:pPr>
            <w:r>
              <w:rPr>
                <w:rFonts w:ascii="Times New Roman" w:cs="Times New Roman" w:eastAsia="Times New Roman" w:hAnsi="Times New Roman"/>
                <w:sz w:val="20"/>
                <w:szCs w:val="20"/>
              </w:rPr>
              <w:t xml:space="preserve">19.0</w:t>
            </w:r>
          </w:p>
        </w:tc>
        <w:tc>
          <w:tcPr>
            <w:shd w:fill="ffffff" w:color="ffffff" w:val="solid"/>
          </w:tcPr>
          <w:p>
            <w:pPr>
              <w:spacing w:after="50" w:before="50"/>
            </w:pPr>
            <w:r>
              <w:rPr>
                <w:rFonts w:ascii="Times New Roman" w:cs="Times New Roman" w:eastAsia="Times New Roman" w:hAnsi="Times New Roman"/>
                <w:sz w:val="20"/>
                <w:szCs w:val="20"/>
              </w:rPr>
              <w:t xml:space="preserve">IV</w:t>
            </w:r>
          </w:p>
        </w:tc>
        <w:tc>
          <w:tcPr>
            <w:shd w:fill="ffffff" w:color="ffffff" w:val="solid"/>
          </w:tcPr>
          <w:p>
            <w:pPr>
              <w:spacing w:after="50" w:before="50"/>
            </w:pPr>
            <w:r>
              <w:rPr>
                <w:rFonts w:ascii="Times New Roman" w:cs="Times New Roman" w:eastAsia="Times New Roman" w:hAnsi="Times New Roman"/>
                <w:sz w:val="20"/>
                <w:szCs w:val="20"/>
              </w:rPr>
              <w:t xml:space="preserve">ASCI + HUL 2020</w:t>
            </w:r>
          </w:p>
        </w:tc>
      </w:tr>
    </w:tbl>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276"/>
        <w:jc w:val="both"/>
      </w:pPr>
      <w:r>
        <w:rPr>
          <w:rFonts w:ascii="Times New Roman" w:cs="Times New Roman" w:eastAsia="Times New Roman" w:hAnsi="Times New Roman"/>
          <w:b/>
          <w:bCs/>
          <w:i w:val="false"/>
          <w:iCs w:val="false"/>
          <w:color w:val="000000"/>
          <w:sz w:val="24"/>
          <w:szCs w:val="24"/>
        </w:rPr>
        <w:t xml:space="preserve">Core finding: Four of six cases fall in Quadrant IV (doubly deceptive), and two fall in Quadrant II (genuine product, manipulative advertising). Zero cases fall in Quadrant I. The unified framework is the only method capable of distinguishing Quadrant II from Quadrant IV — both are invisible to product-only verification (FSSAI) and to ad-only standards bodies (ASCI) in isolation.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8. Dataset, Implementation, and Reproducibility</w:t>
      </w:r>
    </w:p>
    <w:p>
      <w:pPr>
        <w:pStyle w:val="Heading2"/>
        <w:spacing w:after="120" w:before="280"/>
      </w:pPr>
      <w:r>
        <w:rPr>
          <w:rFonts w:ascii="Times New Roman" w:cs="Times New Roman" w:eastAsia="Times New Roman" w:hAnsi="Times New Roman"/>
          <w:b/>
          <w:bCs/>
          <w:i/>
          <w:iCs/>
          <w:sz w:val="24"/>
          <w:szCs w:val="24"/>
        </w:rPr>
        <w:t xml:space="preserve">8.1 Dataset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Indian Advertising Manipulation Dataset (IAMD) is released alongside this paper. The initial release contains the six documented cases with full regulatory citation, scoring rationale, and child-impact assessment. The dataset schema includes: brand, product category, ad text/description, regulatory record, ASCI flag, NCPCR flag, ATE score with derivation, NTI score with dimension breakdown, UTI, AID, and quadrant classification.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Dataset available at: </w:t>
      </w:r>
      <w:r>
        <w:rPr>
          <w:rFonts w:ascii="Times New Roman" w:cs="Times New Roman" w:eastAsia="Times New Roman" w:hAnsi="Times New Roman"/>
          <w:b w:val="false"/>
          <w:bCs w:val="false"/>
          <w:i/>
          <w:iCs/>
          <w:color w:val="000000"/>
          <w:sz w:val="24"/>
          <w:szCs w:val="24"/>
        </w:rPr>
        <w:t xml:space="preserve">https://huggingface.co/datasets/tulasikrishna/indian-ad-manipulation-dataset</w:t>
      </w:r>
    </w:p>
    <w:p>
      <w:pPr>
        <w:pStyle w:val="Heading2"/>
        <w:spacing w:after="120" w:before="280"/>
      </w:pPr>
      <w:r>
        <w:rPr>
          <w:rFonts w:ascii="Times New Roman" w:cs="Times New Roman" w:eastAsia="Times New Roman" w:hAnsi="Times New Roman"/>
          <w:b/>
          <w:bCs/>
          <w:i/>
          <w:iCs/>
          <w:sz w:val="24"/>
          <w:szCs w:val="24"/>
        </w:rPr>
        <w:t xml:space="preserve">8.2 Implementation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NTI-AD AI is implemented as a browser-deployable React application requiring no server infrastructure. The full PAVE-C v2.0 math engine — LPS, EDV, SEC, H_ψ, MPI, VI, AS, CLF — runs client-side in JavaScript. The ATE engine implements the full ODE solution T(S) = T_max(1 − e^(−αS)) with real-time IVW weight computation and DRS(t) calculation.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Live demo: </w:t>
      </w:r>
      <w:r>
        <w:rPr>
          <w:rFonts w:ascii="Times New Roman" w:cs="Times New Roman" w:eastAsia="Times New Roman" w:hAnsi="Times New Roman"/>
          <w:b w:val="false"/>
          <w:bCs w:val="false"/>
          <w:i/>
          <w:iCs/>
          <w:color w:val="000000"/>
          <w:sz w:val="24"/>
          <w:szCs w:val="24"/>
        </w:rPr>
        <w:t xml:space="preserve">https://tulasikrishna-simulations.github.io/nti-ad-ai</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9. Limitations and Acknowledged Gaps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Weight derivation: The PAVE-C v2.0 weights (0.28, 0.22, 0.18, 0.18, 0.14) are theoretically motivated but empirically unvalidated. Deriving these weights through logistic regression on a labeled dataset with verified manipulation outcomes is the highest-priority future work.</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No labeled dataset at scale: The current release contains six documented cases. A minimum viable validation dataset requires 100–200 labeled advertisements with inter-rater reliability (Cohen's κ &gt; 0.6) established with at least one additional rater.</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No user study: The central claim — that high TS_NTI scores correlate with better consumer decision outcomes — is untested. A controlled experiment measuring purchase intent change and claim scrutiny behavior under PAVE-C transparency overlays is required for empirical validation.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CLF text approximation: Cognitive Load Factor for text advertisements is estimated from lexical features (word count, exclamation marks, all-caps frequency). For video advertisements, proper CLF computation requires cut rate analysis, audio intensity measurement, and visual complexity quantification — technically straightforward with OpenCV and FFmpeg.</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Adversarial robustness: The lexical matching approach in PI and H_ψ is vulnerable to paraphrase-based circumvention. A motivated advertiser familiar with the framework could replace 'hurry' with 'time-sensitive opportunity' without triggering detection. Semantic embedding-based technique detection is the appropriate long-term solution.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Cultural calibration: The Δp values in H_ψ (urgency Δp = 0.35, FOMO Δp = 0.40) are calibrated to general compliance rate literature. Indian cultural context — where bazaar urgency language is baseline expected communication — may require recalibrated values.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10. Research Roadmap</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Phase 1 (Weeks 1–4): Build annotation tool; label 100 advertisements across food, health, beauty, and tobacco-adjacent categories; achieve inter-rater reliability κ &gt; 0.6 with a second annotator; run logistic regression to derive empirical PAVE-C weights.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Phase 2 (Weeks 5–8): Design within-subjects experiment with 20+ participants; show identical advertisements with and without PAVE-C transparency overlay; measure time-on-claim-reading, purchase intent (7-point Likert), and free-recall accuracy of claims; correlate PAVE-C scores with behavioral outcomes.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Phase 3 (Weeks 9–12): Implement video CLF computation (frame differencing for cut rate, audio RMS for intensity); expand IAMD to 200+ cases; automate ASCI and NCPCR ruling ingestion; publish dataset and model weights openly.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Phase 4: Target FAccT 2027 full paper track or ACM WebSci 2027. Workshop submission possible with Phase 1–2 complete.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11. Conclusion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Commercial trust operates across two independent layers — product truth and advertising truth — that existing frameworks address in isolation. This paper introduces the first unified verification architecture measuring both, producing the Unified Trust Index and the Advertising Integrity Deficit as novel measurable constructs.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most important finding is definitional: the identification and formal characterization of Quadrant II — genuine products sold through psychologically manipulative advertising — as a configuration simultaneously invisible to product verification systems and unaddressed by advertising standards bodies. In the Indian consumer market, this describes the majority of sophisticated commercial manipulation. Millions of Indian children have made nutritional, health, and self-image decisions shaped by advertising designed to suppress the very cognitive faculties that would allow them to evaluate those decisions critically.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mathematical contributions — the ODE-based trust growth model with coupling constant α, the compounding PI formula from reliability theory, the Shannon entropy H_ψ model of decision space compression, the multiplicative UTI integration, and the EDV's replacement of scalar emotional measurement with a 7-dimensional vector — provide a theoretically grounded, falsifiable, and extensible foundation for empirical validation.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next step is data. The framework exists. The cases are documented. The math is specified. What remains is to label advertisements at scale, run the user study, and let the data refine what theory has proposed.</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333333" w:sz="6"/>
        </w:pBdr>
        <w:spacing w:after="160" w:before="360"/>
      </w:pPr>
      <w:r>
        <w:rPr>
          <w:rFonts w:ascii="Times New Roman" w:cs="Times New Roman" w:eastAsia="Times New Roman" w:hAnsi="Times New Roman"/>
          <w:b/>
          <w:bCs/>
          <w:sz w:val="28"/>
          <w:szCs w:val="28"/>
        </w:rPr>
        <w:t xml:space="preserve">References</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Cialdini, R. B. (1984). Influence: The Psychology of Persuasion. Harper Collins.</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Fogg, B. J. (2002). Persuasive Technology: Using Computers to Change What We Think and Do. Morgan Kaufmann.</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Kahneman, D. (2011). Thinking, Fast and Slow. Farrar, Straus and Giroux.</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Palmer, F. R. (2001). Mood and Modality (2nd ed.). Cambridge University Press.</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Petty, R. E., &amp; Cacioppo, J. T. (1986). The Elaboration Likelihood Model of persuasion. Advances in Experimental Social Psychology, 19, 123–205.</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Shannon, C. E. (1948). A mathematical theory of communication. Bell System Technical Journal, 27(3), 379–423.</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Sweller, J. (1988). Cognitive load during problem solving: Effects on learning. Cognitive Science, 12(2), 257–285.</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von Neumann, J., &amp; Morgenstern, O. (1944). Theory of Games and Economic Behavior. Princeton University Press.</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Advertising Standards Council of India (ASCI). (2022). Complaint against Vimal Elaichi pan masala advertisements. Case reference 2022.</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Food Safety and Standards Authority of India (FSSAI). (2015). Order directing recall of Maggi noodles — sample test reports showing lead content. June 2015.</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National Commission for Protection of Child Rights (NCPCR). (2023). Notice to Mondelez India Foods Private Limited regarding Bournvita 'health drink' categorization. April 2023.</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Advertising Standards Authority UK (ASA). (2020). Ruling: Horlicks — GlaxoSmithKline Consumer Healthcare — claims regarding children growing taller and smarter. February 2020.</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Andrews, J. C., Burton, S., &amp; Netemeyer, R. G. (2000). Are some comparative nutrition claims misleading? Journal of Advertising, 29(3), 29–42.</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Kim, B. G., &amp; Pasadeos, Y. (2007). Study of deceptive advertising practices. Journal of Advertising Research, 47(2), 186–202.</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Sunstein, C. R., &amp; Thaler, R. H. (2008). Nudge: Improving Decisions About Health, Wealth, and Happiness. Yale University Press.</w:t>
      </w:r>
      <w:r>
        <w:rPr>
          <w:rFonts w:ascii="Times New Roman" w:cs="Times New Roman" w:eastAsia="Times New Roman" w:hAnsi="Times New Roman"/>
          <w:b w:val="false"/>
          <w:bCs w:val="false"/>
          <w:i w:val="false"/>
          <w:iCs w:val="false"/>
          <w:color w:val="000000"/>
          <w:sz w:val="20"/>
          <w:szCs w:val="20"/>
        </w:rPr>
        <w:t xml:space="preserve">]</w:t>
      </w:r>
    </w:p>
    <w:p>
      <w:pPr>
        <w:spacing w:after="40" w:before="40" w:line="276"/>
        <w:ind w:left="720"/>
        <w:jc w:val="left"/>
      </w:pPr>
      <w:r>
        <w:rPr>
          <w:rFonts w:ascii="Times New Roman" w:cs="Times New Roman" w:eastAsia="Times New Roman" w:hAnsi="Times New Roman"/>
          <w:b w:val="false"/>
          <w:bCs w:val="false"/>
          <w:i w:val="false"/>
          <w:iCs w:val="false"/>
          <w:color w:val="000000"/>
          <w:sz w:val="20"/>
          <w:szCs w:val="20"/>
        </w:rPr>
        <w:t xml:space="preserve">[</w:t>
      </w:r>
      <w:r>
        <w:rPr>
          <w:rFonts w:ascii="Times New Roman" w:cs="Times New Roman" w:eastAsia="Times New Roman" w:hAnsi="Times New Roman"/>
          <w:b w:val="false"/>
          <w:bCs w:val="false"/>
          <w:i/>
          <w:iCs/>
          <w:color w:val="000000"/>
          <w:sz w:val="20"/>
          <w:szCs w:val="20"/>
        </w:rPr>
        <w:t xml:space="preserve">Acquisti, A., Brandimarte, L., &amp; Loewenstein, G. (2015). Privacy and human behavior in the age of information. Science, 347(6221), 509–514.</w:t>
      </w:r>
      <w:r>
        <w:rPr>
          <w:rFonts w:ascii="Times New Roman" w:cs="Times New Roman" w:eastAsia="Times New Roman" w:hAnsi="Times New Roman"/>
          <w:b w:val="false"/>
          <w:bCs w:val="false"/>
          <w:i w:val="false"/>
          <w:iCs w:val="false"/>
          <w:color w:val="000000"/>
          <w:sz w:val="20"/>
          <w:szCs w:val="20"/>
        </w:rPr>
        <w:t xml:space="preserv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Acknowledgments</w:t>
      </w:r>
    </w:p>
    <w:p>
      <w:pPr>
        <w:spacing w:after="120" w:before="120" w:line="276"/>
        <w:jc w:val="both"/>
      </w:pPr>
      <w:r>
        <w:rPr>
          <w:rFonts w:ascii="Times New Roman" w:cs="Times New Roman" w:eastAsia="Times New Roman" w:hAnsi="Times New Roman"/>
          <w:b w:val="false"/>
          <w:bCs w:val="false"/>
          <w:i/>
          <w:iCs/>
          <w:color w:val="000000"/>
          <w:sz w:val="24"/>
          <w:szCs w:val="24"/>
        </w:rPr>
        <w:t xml:space="preserve">This research was conducted independently, without institutional affiliation, funding, mentorship, or access to academic resources. The author is an 18-year-old independent researcher from Hospet, Karnataka, India, belonging to the Economically Weaker Section (EWS). The mathematical framework, case study analysis, implementation, and writing are entirely the author's own work. This paper is dedicated to every Indian child who was taught to feel inadequate by an advertisement.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i/>
      <w:iCs/>
      <w:color w:val="111111"/>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2026-05-19T01:32:08.377Z</dcterms:created>
  <dcterms:modified xsi:type="dcterms:W3CDTF">2026-05-19T01:32:08.378Z</dcterms:modified>
</cp:coreProperties>
</file>

<file path=docProps/custom.xml><?xml version="1.0" encoding="utf-8"?>
<Properties xmlns="http://schemas.openxmlformats.org/officeDocument/2006/custom-properties" xmlns:vt="http://schemas.openxmlformats.org/officeDocument/2006/docPropsVTypes"/>
</file>