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E4F2520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C6FD4" w:rsidRPr="001F7413">
        <w:rPr>
          <w:rFonts w:ascii="Segoe UI" w:hAnsi="Segoe UI" w:cs="Segoe UI"/>
          <w:sz w:val="24"/>
          <w:szCs w:val="24"/>
        </w:rPr>
        <w:t>Übermittlungspionier</w:t>
      </w:r>
      <w:r w:rsidR="00BC6FD4">
        <w:rPr>
          <w:rFonts w:ascii="Segoe UI" w:hAnsi="Segoe UI" w:cs="Segoe UI"/>
          <w:sz w:val="24"/>
          <w:szCs w:val="24"/>
        </w:rPr>
        <w:t>in</w:t>
      </w:r>
      <w:r w:rsidR="00BC6FD4" w:rsidRPr="001F7413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BC6FD4" w:rsidRPr="001F7413">
        <w:rPr>
          <w:rFonts w:ascii="Segoe UI" w:hAnsi="Segoe UI" w:cs="Segoe UI"/>
          <w:sz w:val="24"/>
          <w:szCs w:val="24"/>
        </w:rPr>
        <w:t>Spürer</w:t>
      </w:r>
      <w:r w:rsidR="00BC6FD4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AAD6583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91C54D1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EEA3EC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413984F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C6E70B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F9A4A63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D24BD69" w14:textId="77777777" w:rsidR="00691F29" w:rsidRPr="00F52599" w:rsidRDefault="00691F29" w:rsidP="00691F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5E1FA9C" w14:textId="258986CF" w:rsidR="00BC6FD4" w:rsidRPr="001012A8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1957EEFE" w14:textId="37E3498D" w:rsidR="00BC6FD4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mobilen Kommunikationssystemen </w:t>
            </w:r>
            <w:r w:rsidRPr="00715D9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5D784237" w14:textId="6ABF0BEC" w:rsidR="00BC6FD4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</w:t>
            </w:r>
            <w:r w:rsidRPr="00715D9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69911DCE" w14:textId="7A6E0B93" w:rsidR="00BC6FD4" w:rsidRPr="00025000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2500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7F316244" w14:textId="678F2AE9" w:rsidR="00BC6FD4" w:rsidRPr="000843F6" w:rsidRDefault="00BC6FD4" w:rsidP="00BC6F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radioaktiven und chemischen Elementen</w:t>
            </w:r>
          </w:p>
          <w:p w14:paraId="2493C344" w14:textId="73ED6E29" w:rsidR="00BC6FD4" w:rsidRDefault="00BC6FD4" w:rsidP="00BC6F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Elementen </w:t>
            </w:r>
            <w:r w:rsidR="00691F29"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mittels speziellen Spürgeräts</w:t>
            </w:r>
          </w:p>
          <w:p w14:paraId="25B8D40E" w14:textId="77777777" w:rsidR="00BC6FD4" w:rsidRPr="000843F6" w:rsidRDefault="00BC6FD4" w:rsidP="00BC6FD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E0211D7" w14:textId="76A8031E" w:rsidR="00BC6FD4" w:rsidRPr="006A205C" w:rsidRDefault="00BC6FD4" w:rsidP="00BC6FD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6A205C"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>) oder Zugsgrösse (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 xml:space="preserve"> 40 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</w:t>
            </w:r>
            <w:r>
              <w:rPr>
                <w:rFonts w:ascii="Segoe UI" w:hAnsi="Segoe UI" w:cs="Segoe UI"/>
                <w:sz w:val="20"/>
              </w:rPr>
              <w:t>en und betreiben sowie schützen</w:t>
            </w:r>
          </w:p>
          <w:p w14:paraId="30735187" w14:textId="77777777" w:rsidR="00BC6FD4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Überwacht den Betrieb der Funknetze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;</w:t>
            </w:r>
          </w:p>
          <w:p w14:paraId="530B7B96" w14:textId="268C8937" w:rsidR="00BC6FD4" w:rsidRPr="001012A8" w:rsidRDefault="00BC6FD4" w:rsidP="00BC6FD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Nots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7A9117A2" w14:textId="7878CB6F" w:rsidR="00BC6FD4" w:rsidRPr="00FF196C" w:rsidRDefault="00BC6FD4" w:rsidP="00BC6FD4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2B44A281" w14:textId="29E2BA52" w:rsidR="00BC6FD4" w:rsidRPr="00BC6FD4" w:rsidRDefault="00BC6FD4" w:rsidP="00BC6FD4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691F29">
              <w:rPr>
                <w:rFonts w:ascii="Segoe UI" w:hAnsi="Segoe UI" w:cs="Segoe UI"/>
                <w:color w:val="000000" w:themeColor="text1"/>
                <w:sz w:val="20"/>
              </w:rPr>
              <w:t>von verstrahltem und chemisch vergiftetem Gelände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mit speziellen Spürgeräten</w:t>
            </w:r>
          </w:p>
          <w:p w14:paraId="3E777B15" w14:textId="77777777" w:rsidR="00BC6FD4" w:rsidRPr="006420B7" w:rsidRDefault="00BC6FD4" w:rsidP="00BC6FD4">
            <w:pPr>
              <w:pStyle w:val="Listenabsatz"/>
              <w:rPr>
                <w:rFonts w:cs="Arial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91F29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C6FD4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85BE8-CEDE-4B65-B488-E22AA1AC3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