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ACEDA56" w:rsidR="00952554" w:rsidRPr="003F7AE3" w:rsidRDefault="00952554" w:rsidP="00003F8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003F86">
        <w:rPr>
          <w:rFonts w:ascii="Segoe UI" w:hAnsi="Segoe UI" w:cs="Segoe UI"/>
          <w:sz w:val="24"/>
          <w:szCs w:val="24"/>
        </w:rPr>
        <w:t>Infanterie Besatzer / Infanterie Panzerfahrer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27425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7425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4DEC959" w14:textId="77777777" w:rsidR="00003F86" w:rsidRPr="00E662C2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41DF1DF2" w14:textId="5572D463" w:rsidR="00003F86" w:rsidRPr="00E662C2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6E5B1A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278C92C0" w14:textId="77777777" w:rsidR="00003F86" w:rsidRPr="00E662C2" w:rsidRDefault="00003F86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43FDBF49" w14:textId="6B133112" w:rsidR="00EA38D6" w:rsidRPr="0027425E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7425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AE1FB0" w:rsidRPr="0027425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7425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7A71284" w14:textId="6E8EB077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Analysieren von Situationen, um seine Waffe(n) wirkungsvoll und ohne Gefährdung von Kameraden einzusetzen</w:t>
            </w:r>
          </w:p>
          <w:p w14:paraId="6F7E329C" w14:textId="7314B8D8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Aufrechterhalten der Funktionstüchtigkeit seiner Waffe(n) durch konsequente Wartung und einer systematischen Fehlerbehebung auch unter Stress</w:t>
            </w:r>
          </w:p>
          <w:p w14:paraId="576870A6" w14:textId="4488B01C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5CB67262" w14:textId="2184E658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5E4F10E3" w14:textId="0285768B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1A47B4E6" w14:textId="55216B4A" w:rsidR="0027425E" w:rsidRPr="00E662C2" w:rsidRDefault="0027425E" w:rsidP="002742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662C2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6384C099" w14:textId="77777777" w:rsidR="0027425E" w:rsidRPr="0027425E" w:rsidRDefault="0027425E" w:rsidP="0027425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425E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27425E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1A3715" w:rsidRPr="0027425E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27425E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EE43F1" w:rsidRPr="0027425E">
              <w:rPr>
                <w:rFonts w:ascii="Segoe UI" w:hAnsi="Segoe UI" w:cs="Segoe UI"/>
                <w:color w:val="000000" w:themeColor="text1"/>
              </w:rPr>
              <w:br/>
            </w:r>
            <w:r w:rsidRPr="0027425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27425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7425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B1A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662C2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3030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2023-03-28T10:56:00Z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