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A4886E3" w:rsidR="00805B48" w:rsidRDefault="00491B8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91B8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1" locked="0" layoutInCell="1" allowOverlap="1" wp14:anchorId="0073BD0D" wp14:editId="25575E31">
            <wp:simplePos x="0" y="0"/>
            <wp:positionH relativeFrom="margin">
              <wp:posOffset>4710430</wp:posOffset>
            </wp:positionH>
            <wp:positionV relativeFrom="paragraph">
              <wp:posOffset>-2540</wp:posOffset>
            </wp:positionV>
            <wp:extent cx="1292697" cy="1752600"/>
            <wp:effectExtent l="0" t="0" r="3175" b="0"/>
            <wp:wrapNone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9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6B6B614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34EFDB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BCD7E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91B8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sz w:val="52"/>
          <w:szCs w:val="52"/>
        </w:rPr>
      </w:pPr>
      <w:r w:rsidRPr="00491B80">
        <w:rPr>
          <w:rFonts w:ascii="Segoe UI" w:hAnsi="Segoe UI" w:cs="Segoe UI"/>
          <w:sz w:val="52"/>
          <w:szCs w:val="52"/>
        </w:rPr>
        <w:t>Bildungs- und Kompetenznach</w:t>
      </w:r>
      <w:r w:rsidR="00242DA1" w:rsidRPr="00491B80">
        <w:rPr>
          <w:rFonts w:ascii="Segoe UI" w:hAnsi="Segoe UI" w:cs="Segoe UI"/>
          <w:sz w:val="52"/>
          <w:szCs w:val="52"/>
        </w:rPr>
        <w:t>weis</w:t>
      </w:r>
    </w:p>
    <w:p w14:paraId="5A2407D2" w14:textId="77777777" w:rsidR="00242DA1" w:rsidRPr="00491B8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491B8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4445BE">
        <w:rPr>
          <w:rFonts w:ascii="Segoe UI" w:hAnsi="Segoe UI" w:cs="Segoe UI"/>
          <w:b/>
          <w:sz w:val="32"/>
          <w:szCs w:val="32"/>
          <w:highlight w:val="yellow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CB56C9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4445BE">
        <w:rPr>
          <w:rFonts w:ascii="Segoe UI" w:hAnsi="Segoe UI" w:cs="Segoe UI"/>
          <w:sz w:val="24"/>
          <w:szCs w:val="24"/>
        </w:rPr>
        <w:t>01.01.2023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4445BE">
        <w:rPr>
          <w:rFonts w:ascii="Segoe UI" w:hAnsi="Segoe UI" w:cs="Segoe UI"/>
          <w:sz w:val="24"/>
          <w:szCs w:val="24"/>
        </w:rPr>
        <w:t>31.12.2023</w:t>
      </w:r>
    </w:p>
    <w:p w14:paraId="5D25CAE4" w14:textId="08DA7A03" w:rsidR="00952554" w:rsidRPr="00242DA1" w:rsidRDefault="00491B80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E</w:t>
      </w:r>
      <w:r w:rsidR="004445BE">
        <w:rPr>
          <w:rFonts w:ascii="Segoe UI" w:hAnsi="Segoe UI" w:cs="Segoe UI"/>
          <w:b/>
          <w:sz w:val="24"/>
          <w:szCs w:val="24"/>
        </w:rPr>
        <w:t>i</w:t>
      </w:r>
      <w:r>
        <w:rPr>
          <w:rFonts w:ascii="Segoe UI" w:hAnsi="Segoe UI" w:cs="Segoe UI"/>
          <w:b/>
          <w:sz w:val="24"/>
          <w:szCs w:val="24"/>
        </w:rPr>
        <w:t>nteilung</w:t>
      </w:r>
      <w:r w:rsidR="00952554" w:rsidRPr="00242DA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Kommando Ausbildung – Chance Armee</w:t>
      </w:r>
    </w:p>
    <w:p w14:paraId="0DE57E59" w14:textId="5723F77E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="00491B80" w:rsidRPr="00491B80">
        <w:rPr>
          <w:rFonts w:ascii="Segoe UI" w:hAnsi="Segoe UI" w:cs="Segoe UI"/>
          <w:sz w:val="24"/>
          <w:szCs w:val="24"/>
          <w:highlight w:val="yellow"/>
        </w:rPr>
        <w:t>Leutnant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FFF3A81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</w:t>
      </w:r>
      <w:r w:rsidR="00CD3B5E" w:rsidRPr="00864A91">
        <w:rPr>
          <w:rFonts w:ascii="Segoe UI" w:hAnsi="Segoe UI" w:cs="Segoe UI"/>
          <w:sz w:val="24"/>
          <w:szCs w:val="24"/>
        </w:rPr>
        <w:t>Leutnant</w:t>
      </w:r>
      <w:r w:rsidR="00636EF8" w:rsidRPr="00864A91">
        <w:rPr>
          <w:rFonts w:ascii="Segoe UI" w:hAnsi="Segoe UI" w:cs="Segoe UI"/>
          <w:sz w:val="24"/>
          <w:szCs w:val="24"/>
        </w:rPr>
        <w:t xml:space="preserve"> </w:t>
      </w:r>
      <w:r w:rsidR="00F55106" w:rsidRPr="00864A91">
        <w:rPr>
          <w:rFonts w:ascii="Segoe UI" w:hAnsi="Segoe UI" w:cs="Segoe UI"/>
          <w:sz w:val="24"/>
          <w:szCs w:val="24"/>
        </w:rPr>
        <w:t>Felix Muster</w:t>
      </w:r>
      <w:r w:rsidR="00636EF8" w:rsidRPr="00864A91">
        <w:rPr>
          <w:rFonts w:ascii="Segoe UI" w:hAnsi="Segoe UI" w:cs="Segoe UI"/>
          <w:sz w:val="24"/>
          <w:szCs w:val="24"/>
        </w:rPr>
        <w:t xml:space="preserve"> </w:t>
      </w:r>
      <w:r w:rsidR="00774218" w:rsidRPr="00864A91">
        <w:rPr>
          <w:rFonts w:ascii="Segoe UI" w:hAnsi="Segoe UI" w:cs="Segoe UI"/>
          <w:sz w:val="24"/>
          <w:szCs w:val="24"/>
        </w:rPr>
        <w:t>für sein Engagement zugunsten der Schweizer Armee und wünsche ihm</w:t>
      </w:r>
      <w:r w:rsidR="00B0014E" w:rsidRPr="00864A91">
        <w:rPr>
          <w:rFonts w:ascii="Segoe UI" w:hAnsi="Segoe UI" w:cs="Segoe UI"/>
          <w:sz w:val="24"/>
          <w:szCs w:val="24"/>
        </w:rPr>
        <w:t xml:space="preserve"> </w:t>
      </w:r>
      <w:r w:rsidR="00774218" w:rsidRPr="00864A91">
        <w:rPr>
          <w:rFonts w:ascii="Segoe UI" w:hAnsi="Segoe UI" w:cs="Segoe UI"/>
          <w:sz w:val="24"/>
          <w:szCs w:val="24"/>
        </w:rPr>
        <w:t>für seine</w:t>
      </w:r>
      <w:r w:rsidR="00B0014E" w:rsidRPr="00864A91">
        <w:rPr>
          <w:rFonts w:ascii="Segoe UI" w:hAnsi="Segoe UI" w:cs="Segoe UI"/>
          <w:sz w:val="24"/>
          <w:szCs w:val="24"/>
        </w:rPr>
        <w:t xml:space="preserve"> </w:t>
      </w:r>
      <w:r w:rsidR="00774218" w:rsidRPr="00864A91">
        <w:rPr>
          <w:rFonts w:ascii="Segoe UI" w:hAnsi="Segoe UI" w:cs="Segoe UI"/>
          <w:sz w:val="24"/>
          <w:szCs w:val="24"/>
        </w:rPr>
        <w:t>zukünftige berufliche</w:t>
      </w:r>
      <w:r w:rsidR="00774218" w:rsidRPr="00242DA1">
        <w:rPr>
          <w:rFonts w:ascii="Segoe UI" w:hAnsi="Segoe UI" w:cs="Segoe UI"/>
          <w:sz w:val="24"/>
          <w:szCs w:val="24"/>
        </w:rPr>
        <w:t xml:space="preserve">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0C349A5" w:rsidR="00774218" w:rsidRPr="008626A0" w:rsidRDefault="004445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Ausbildung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F8BADF3" w:rsidR="00774218" w:rsidRPr="00D30974" w:rsidRDefault="00B0014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René Baumann</w:t>
      </w:r>
    </w:p>
    <w:p w14:paraId="128E1648" w14:textId="22621F6C" w:rsidR="00B13D00" w:rsidRPr="00D30974" w:rsidRDefault="00B0014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Stabsc</w:t>
      </w:r>
      <w:r w:rsidR="004445BE">
        <w:rPr>
          <w:rFonts w:ascii="Segoe UI" w:hAnsi="Segoe UI" w:cs="Segoe UI"/>
          <w:sz w:val="24"/>
          <w:szCs w:val="18"/>
        </w:rPr>
        <w:t>hef Kommando Ausbildung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531C8D3" w14:textId="088DEF7E" w:rsidR="000106BF" w:rsidRPr="00937C09" w:rsidRDefault="000106BF" w:rsidP="00805B48">
      <w:pPr>
        <w:widowControl/>
        <w:spacing w:line="240" w:lineRule="auto"/>
        <w:rPr>
          <w:rFonts w:ascii="Segoe UI" w:hAnsi="Segoe UI" w:cs="Segoe UI"/>
          <w:color w:val="000000" w:themeColor="text1"/>
        </w:rPr>
      </w:pPr>
      <w:r w:rsidRPr="00AF444F">
        <w:rPr>
          <w:rFonts w:ascii="Segoe UI" w:hAnsi="Segoe UI" w:cs="Segoe UI"/>
          <w:color w:val="000000" w:themeColor="text1"/>
        </w:rPr>
        <w:lastRenderedPageBreak/>
        <w:t>Er wurde</w:t>
      </w:r>
      <w:r w:rsidRPr="00937C09">
        <w:rPr>
          <w:rFonts w:ascii="Segoe UI" w:hAnsi="Segoe UI" w:cs="Segoe UI"/>
          <w:color w:val="000000" w:themeColor="text1"/>
        </w:rPr>
        <w:t xml:space="preserve"> über ein Jahr im Rahmen der Öffentlichkeitsarbeit der Schweizer Armee an Berufs- und Bildungsmessen sowie Informationsveranstaltungen zu Gunsten von Bildungsinstitutionen eingesetzt.</w:t>
      </w:r>
    </w:p>
    <w:p w14:paraId="19C47734" w14:textId="0201D8AA" w:rsidR="002254AE" w:rsidRPr="00937C09" w:rsidRDefault="000106BF" w:rsidP="00805B48">
      <w:pPr>
        <w:widowControl/>
        <w:spacing w:line="240" w:lineRule="auto"/>
        <w:rPr>
          <w:rFonts w:ascii="Segoe UI" w:hAnsi="Segoe UI" w:cs="Segoe UI"/>
          <w:color w:val="000000" w:themeColor="text1"/>
        </w:rPr>
      </w:pPr>
      <w:r w:rsidRPr="00937C09">
        <w:rPr>
          <w:rFonts w:ascii="Segoe UI" w:hAnsi="Segoe UI" w:cs="Segoe UI"/>
          <w:color w:val="000000" w:themeColor="text1"/>
        </w:rPr>
        <w:t>Dabei galt es die unterschiedlichen Anspruchsgruppen (Kinder, Jugendliche, Eltern, Lehrpersonen, Berufsbildungsverantwortliche) zielgerichtet und adressatenorientiert über den Militärdienst im Allgemeinen und die individuellen Entwicklungschancen im Besonderen zu informieren.</w:t>
      </w:r>
      <w:r w:rsidR="00DA48CD" w:rsidRPr="00937C09">
        <w:rPr>
          <w:rFonts w:ascii="Segoe UI" w:hAnsi="Segoe UI" w:cs="Segoe UI"/>
          <w:color w:val="000000" w:themeColor="text1"/>
        </w:rPr>
        <w:t xml:space="preserve"> Für diese Tätigkeit</w:t>
      </w:r>
      <w:r w:rsidRPr="00937C09">
        <w:rPr>
          <w:rFonts w:ascii="Segoe UI" w:hAnsi="Segoe UI" w:cs="Segoe UI"/>
          <w:color w:val="000000" w:themeColor="text1"/>
        </w:rPr>
        <w:t>en sind nebst vertieftem Fachwissen ausgeprägte Kommunikationskompetenzen, Begeisterungsfähigkeit, Flexibilität, Zuverlässigkeit und Selbständigkeit erforderlich.</w:t>
      </w:r>
    </w:p>
    <w:p w14:paraId="3F8B6A9D" w14:textId="77777777" w:rsidR="00611BEE" w:rsidRPr="00611BEE" w:rsidRDefault="00611BE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8"/>
          <w:szCs w:val="8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D3B5E">
        <w:trPr>
          <w:trHeight w:val="424"/>
        </w:trPr>
        <w:tc>
          <w:tcPr>
            <w:tcW w:w="2844" w:type="dxa"/>
            <w:shd w:val="clear" w:color="auto" w:fill="000000" w:themeFill="text1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00" w:themeFill="text1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D3B5E" w:rsidRPr="00096D7B" w14:paraId="1A9A3855" w14:textId="77777777" w:rsidTr="001B5E31">
        <w:tc>
          <w:tcPr>
            <w:tcW w:w="2844" w:type="dxa"/>
          </w:tcPr>
          <w:p w14:paraId="2ADFD1C6" w14:textId="2FCCBC95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Selbstkenntnis</w:t>
            </w:r>
          </w:p>
        </w:tc>
        <w:tc>
          <w:tcPr>
            <w:tcW w:w="6509" w:type="dxa"/>
          </w:tcPr>
          <w:p w14:paraId="5CD44CF5" w14:textId="77777777" w:rsidR="00CD3B5E" w:rsidRDefault="00CD3B5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Cs/>
                <w:color w:val="000000" w:themeColor="text1"/>
                <w:sz w:val="16"/>
                <w:szCs w:val="16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Hinterfragt sich selbst und reflektiert seine Erfahrungen als Führungsperson oder Geführter und leitet entsprechende korrigierende Massnahmen zur nachhaltigen Verhaltensänderung ein.</w:t>
            </w:r>
          </w:p>
          <w:p w14:paraId="677F52D9" w14:textId="2C553B65" w:rsidR="00611BEE" w:rsidRPr="00611BEE" w:rsidRDefault="00611BE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8"/>
                <w:szCs w:val="8"/>
              </w:rPr>
            </w:pPr>
          </w:p>
        </w:tc>
      </w:tr>
      <w:tr w:rsidR="00CD3B5E" w:rsidRPr="00096D7B" w14:paraId="1207E157" w14:textId="77777777" w:rsidTr="001B5E31">
        <w:tc>
          <w:tcPr>
            <w:tcW w:w="2844" w:type="dxa"/>
          </w:tcPr>
          <w:p w14:paraId="296FE521" w14:textId="03CA0B88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Selbstmanagement</w:t>
            </w:r>
          </w:p>
        </w:tc>
        <w:tc>
          <w:tcPr>
            <w:tcW w:w="6509" w:type="dxa"/>
          </w:tcPr>
          <w:p w14:paraId="2BAF86E7" w14:textId="77777777" w:rsidR="00CD3B5E" w:rsidRDefault="00CD3B5E" w:rsidP="00344A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Cs/>
                <w:color w:val="000000" w:themeColor="text1"/>
                <w:sz w:val="16"/>
                <w:szCs w:val="16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Organisiert sich selber und plant seine Aufgaben so, dass er auch in Ausnahmezuständen strukturiert, effektiv und effizient arbeiten kann.</w:t>
            </w:r>
          </w:p>
          <w:p w14:paraId="44B5EB12" w14:textId="49967266" w:rsidR="00611BEE" w:rsidRPr="00611BEE" w:rsidRDefault="00611BEE" w:rsidP="00344A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8"/>
                <w:szCs w:val="8"/>
              </w:rPr>
            </w:pPr>
          </w:p>
        </w:tc>
      </w:tr>
      <w:tr w:rsidR="00CD3B5E" w:rsidRPr="00096D7B" w14:paraId="3339A153" w14:textId="77777777" w:rsidTr="001B5E31">
        <w:tc>
          <w:tcPr>
            <w:tcW w:w="2844" w:type="dxa"/>
          </w:tcPr>
          <w:p w14:paraId="535C8B3D" w14:textId="710BDD07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Präsentation und Kommunikation von Informationen</w:t>
            </w:r>
          </w:p>
        </w:tc>
        <w:tc>
          <w:tcPr>
            <w:tcW w:w="6509" w:type="dxa"/>
          </w:tcPr>
          <w:p w14:paraId="61332B22" w14:textId="77777777" w:rsidR="00CD3B5E" w:rsidRDefault="00CD3B5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Cs/>
                <w:color w:val="000000" w:themeColor="text1"/>
                <w:sz w:val="16"/>
                <w:szCs w:val="16"/>
              </w:rPr>
            </w:pPr>
            <w:r w:rsidRPr="00E520D6">
              <w:rPr>
                <w:rFonts w:ascii="Segoe UI" w:hAnsi="Segoe UI" w:cs="Segoe UI"/>
                <w:bCs/>
                <w:color w:val="000000" w:themeColor="text1"/>
              </w:rPr>
              <w:t>Kommuniziert</w:t>
            </w:r>
            <w:r w:rsidR="00B12AAE">
              <w:rPr>
                <w:rFonts w:ascii="Segoe UI" w:hAnsi="Segoe UI" w:cs="Segoe UI"/>
                <w:bCs/>
                <w:color w:val="000000" w:themeColor="text1"/>
              </w:rPr>
              <w:t xml:space="preserve"> </w:t>
            </w:r>
            <w:r w:rsidRPr="00E520D6">
              <w:rPr>
                <w:rFonts w:ascii="Segoe UI" w:hAnsi="Segoe UI" w:cs="Segoe UI"/>
                <w:bCs/>
                <w:color w:val="000000" w:themeColor="text1"/>
              </w:rPr>
              <w:t xml:space="preserve">und informiert situations-, adressaten- und zeitgerecht </w:t>
            </w:r>
            <w:r w:rsidR="0064556E">
              <w:rPr>
                <w:rFonts w:ascii="Segoe UI" w:hAnsi="Segoe UI" w:cs="Segoe UI"/>
                <w:bCs/>
                <w:color w:val="000000" w:themeColor="text1"/>
              </w:rPr>
              <w:t>mit den Peers an Ausstellungen und Veranstaltungen</w:t>
            </w:r>
            <w:r w:rsidRPr="00E520D6">
              <w:rPr>
                <w:rFonts w:ascii="Segoe UI" w:hAnsi="Segoe UI" w:cs="Segoe UI"/>
                <w:bCs/>
                <w:color w:val="000000" w:themeColor="text1"/>
              </w:rPr>
              <w:t>.</w:t>
            </w:r>
            <w:r>
              <w:rPr>
                <w:rFonts w:ascii="Segoe UI" w:hAnsi="Segoe UI" w:cs="Segoe UI"/>
                <w:bCs/>
                <w:color w:val="000000" w:themeColor="text1"/>
              </w:rPr>
              <w:t xml:space="preserve"> Visualisiert adressatengerecht. Kann schwierige Gespräche vorbereiten, durchführen und auswerten.</w:t>
            </w:r>
          </w:p>
          <w:p w14:paraId="20568BB0" w14:textId="2B93D3DA" w:rsidR="00611BEE" w:rsidRPr="00611BEE" w:rsidRDefault="00611BE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8"/>
                <w:szCs w:val="8"/>
              </w:rPr>
            </w:pPr>
          </w:p>
        </w:tc>
      </w:tr>
      <w:tr w:rsidR="00CD3B5E" w:rsidRPr="00096D7B" w14:paraId="06604006" w14:textId="77777777" w:rsidTr="004166F1">
        <w:tc>
          <w:tcPr>
            <w:tcW w:w="2844" w:type="dxa"/>
            <w:tcBorders>
              <w:bottom w:val="nil"/>
            </w:tcBorders>
          </w:tcPr>
          <w:p w14:paraId="44EEC472" w14:textId="2ACC05A1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520D6">
              <w:rPr>
                <w:rFonts w:ascii="Segoe UI" w:hAnsi="Segoe UI" w:cs="Segoe UI"/>
                <w:bCs/>
                <w:color w:val="000000" w:themeColor="text1"/>
              </w:rPr>
              <w:t>Konfliktmanagement</w:t>
            </w:r>
          </w:p>
        </w:tc>
        <w:tc>
          <w:tcPr>
            <w:tcW w:w="6509" w:type="dxa"/>
            <w:tcBorders>
              <w:bottom w:val="nil"/>
            </w:tcBorders>
          </w:tcPr>
          <w:p w14:paraId="16F31458" w14:textId="199C9294" w:rsidR="00CD3B5E" w:rsidRPr="00EA38D6" w:rsidRDefault="00CD3B5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520D6">
              <w:rPr>
                <w:rFonts w:ascii="Segoe UI" w:hAnsi="Segoe UI" w:cs="Segoe UI"/>
                <w:bCs/>
                <w:color w:val="000000" w:themeColor="text1"/>
              </w:rPr>
              <w:t xml:space="preserve">Ist kritikfähig, erkennt und bewältigt frühzeitig respektive situationsgerecht vorhandene Konflikte </w:t>
            </w:r>
            <w:r w:rsidR="00344A8B" w:rsidRPr="00E520D6">
              <w:rPr>
                <w:rFonts w:ascii="Segoe UI" w:hAnsi="Segoe UI" w:cs="Segoe UI"/>
                <w:bCs/>
                <w:color w:val="000000" w:themeColor="text1"/>
              </w:rPr>
              <w:t>bei seinem Gegenüber</w:t>
            </w:r>
            <w:r w:rsidR="00344A8B">
              <w:rPr>
                <w:rFonts w:ascii="Segoe UI" w:hAnsi="Segoe UI" w:cs="Segoe UI"/>
                <w:bCs/>
                <w:color w:val="000000" w:themeColor="text1"/>
              </w:rPr>
              <w:t>. Vertritt seine Werte und Normen, z.T. auch unter erschwerten Bedingungen.</w:t>
            </w: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D3B5E">
        <w:trPr>
          <w:trHeight w:val="425"/>
        </w:trPr>
        <w:tc>
          <w:tcPr>
            <w:tcW w:w="9365" w:type="dxa"/>
            <w:shd w:val="clear" w:color="auto" w:fill="000000" w:themeFill="text1"/>
            <w:vAlign w:val="center"/>
          </w:tcPr>
          <w:p w14:paraId="2934F204" w14:textId="0A41388E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</w:t>
            </w:r>
            <w:r w:rsidR="00A542D0">
              <w:rPr>
                <w:rFonts w:ascii="Segoe UI" w:hAnsi="Segoe UI" w:cs="Segoe UI"/>
                <w:b/>
                <w:color w:val="FFFFFF" w:themeColor="background1"/>
              </w:rPr>
              <w:t>Anwendung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2207837D" w:rsidR="00EA38D6" w:rsidRPr="00E967B0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64A91">
              <w:rPr>
                <w:rFonts w:ascii="Segoe UI" w:hAnsi="Segoe UI" w:cs="Segoe UI"/>
                <w:b/>
                <w:color w:val="000000" w:themeColor="text1"/>
              </w:rPr>
              <w:t>Er hat</w:t>
            </w:r>
            <w:r w:rsidRPr="00E967B0">
              <w:rPr>
                <w:rFonts w:ascii="Segoe UI" w:hAnsi="Segoe UI" w:cs="Segoe UI"/>
                <w:b/>
                <w:color w:val="000000" w:themeColor="text1"/>
              </w:rPr>
              <w:t xml:space="preserve"> folgende </w:t>
            </w:r>
            <w:r w:rsidR="00A542D0">
              <w:rPr>
                <w:rFonts w:ascii="Segoe UI" w:hAnsi="Segoe UI" w:cs="Segoe UI"/>
                <w:b/>
                <w:color w:val="000000" w:themeColor="text1"/>
              </w:rPr>
              <w:t>Inhalte praktisch anwenden können</w:t>
            </w:r>
            <w:r w:rsidRPr="00E967B0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  <w:p w14:paraId="518FDADF" w14:textId="2BD91B6F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Kommunikationsprozess / Eigenschaften der Kommunikation: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Vier-Ohren-Modell, interne und externe </w:t>
            </w:r>
            <w:proofErr w:type="spellStart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resp</w:t>
            </w:r>
            <w:proofErr w:type="spellEnd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horizontale und vertikale Kommunikation, interkulturelle Kommunikation</w:t>
            </w:r>
          </w:p>
          <w:p w14:paraId="16CC719C" w14:textId="54E6B2CC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Informationsbeschaffung: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Informationsaufarbeitung, Phasen des Informationsbeschaffungsprozess</w:t>
            </w:r>
            <w:r w:rsidR="0071108E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</w:p>
          <w:p w14:paraId="3C2F23EC" w14:textId="2B74B708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Form und Encodierung von Informationen: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verbale, mündliche und schriftliche Kommunikation </w:t>
            </w:r>
            <w:proofErr w:type="spellStart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inkl</w:t>
            </w:r>
            <w:proofErr w:type="spellEnd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Störungen, Metakommunikation, Wirkung und Nutzen, nonverbale Kommunikation, Körpersprache</w:t>
            </w:r>
          </w:p>
          <w:p w14:paraId="7781DBB0" w14:textId="7CD0330A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Mündliche Präsentationstechniken: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«5-Minuten-INFO-Struktur», Talk-Power-Formel</w:t>
            </w:r>
          </w:p>
          <w:p w14:paraId="4BD5EFAA" w14:textId="379E8AD1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Visuelle Präsentationstechniken: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Visualisierungstechniken und Hilfsmittel</w:t>
            </w:r>
          </w:p>
          <w:p w14:paraId="695828FE" w14:textId="584056C1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Decodierung von Informationen: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Empathie, aktives Zuhören, Störungen im Decodierungsprozess</w:t>
            </w:r>
          </w:p>
          <w:p w14:paraId="7629891D" w14:textId="5966381B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Reaktion nach Erhalt Empfang: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Wirksames Fragen, Feedback und dessen Elemente</w:t>
            </w:r>
          </w:p>
          <w:p w14:paraId="327E0C81" w14:textId="374D1A5B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Schwierige Gespräche: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Vorbereitung, Durchführung, Auswertung</w:t>
            </w:r>
          </w:p>
          <w:p w14:paraId="09C69DC6" w14:textId="7B58ADBF" w:rsidR="00096D7B" w:rsidRDefault="00CD3B5E" w:rsidP="0005758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Verhandlungsgespräch: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Vorbereitung, Durchführung, Auswertung</w:t>
            </w:r>
          </w:p>
          <w:p w14:paraId="2068E486" w14:textId="20338273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Wahrnehmung: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Wahrnehmungsprozess, Verzerrung und Störung, </w:t>
            </w:r>
            <w:proofErr w:type="spellStart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Primacy</w:t>
            </w:r>
            <w:proofErr w:type="spellEnd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-, </w:t>
            </w:r>
            <w:proofErr w:type="spellStart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Recency</w:t>
            </w:r>
            <w:proofErr w:type="spellEnd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-, Halo-, Kontrast- und Hierarchieeffekt, Stereotypen</w:t>
            </w:r>
          </w:p>
          <w:p w14:paraId="73139A0E" w14:textId="4F95C918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Selbstwahrnehmung: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Persönlichkeit, D,</w:t>
            </w:r>
            <w:r w:rsidR="00A467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I,</w:t>
            </w:r>
            <w:r w:rsidR="00A467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S &amp; G, Einstellungen (formelle und informelle Normen und Werte, geplantes Verhalten) Verhaltenstendenzen und Einflüsse (Selektivität, Selbstschutz, wahrgenommene Ähnlichkeit, Opportunismus, Vorurteile, Authentizität, Charisma, Emotionen), Motive und Motivation (Maslow, intrinsisch und extrinsisch</w:t>
            </w:r>
            <w:r w:rsidR="00B545B8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Motivation, Engagement, Zivilcourage, Erwartung x</w:t>
            </w:r>
            <w:r w:rsidR="00B545B8">
              <w:rPr>
                <w:rFonts w:ascii="Segoe UI" w:hAnsi="Segoe UI" w:cs="Segoe UI"/>
                <w:color w:val="000000" w:themeColor="text1"/>
                <w:sz w:val="20"/>
              </w:rPr>
              <w:t>-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Wert</w:t>
            </w:r>
            <w:r w:rsidR="00B545B8">
              <w:rPr>
                <w:rFonts w:ascii="Segoe UI" w:hAnsi="Segoe UI" w:cs="Segoe UI"/>
                <w:color w:val="000000" w:themeColor="text1"/>
                <w:sz w:val="20"/>
              </w:rPr>
              <w:t>-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Modell, Situation)</w:t>
            </w:r>
          </w:p>
          <w:p w14:paraId="5209FFD3" w14:textId="33CA3510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Fremdwahrnehmung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: Johari-Fenster</w:t>
            </w:r>
          </w:p>
          <w:p w14:paraId="5A6EF46A" w14:textId="3237EB09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Konfliktverhalten: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Verhaltenstendenzen (Durchsetzen, Vermeiden, Kompromiss, Nachgeben und Kooperation)</w:t>
            </w:r>
          </w:p>
          <w:p w14:paraId="0BDAFD4A" w14:textId="26408F6A" w:rsidR="005F30BA" w:rsidRPr="00CD3B5E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Lösungswege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: Gesprächsführung in Konfliktsituationen, Rollen bei der Bearbeitung, Intervention, Konfliktgespräch (Vorbereitung, Durchführung, Auswertung)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E2B8" w14:textId="77777777" w:rsidR="00041026" w:rsidRDefault="00041026">
      <w:r>
        <w:separator/>
      </w:r>
    </w:p>
    <w:p w14:paraId="2985A28F" w14:textId="77777777" w:rsidR="00041026" w:rsidRDefault="00041026"/>
  </w:endnote>
  <w:endnote w:type="continuationSeparator" w:id="0">
    <w:p w14:paraId="2A003E7A" w14:textId="77777777" w:rsidR="00041026" w:rsidRDefault="00041026">
      <w:r>
        <w:continuationSeparator/>
      </w:r>
    </w:p>
    <w:p w14:paraId="66698A56" w14:textId="77777777" w:rsidR="00041026" w:rsidRDefault="00041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A8A7" w14:textId="77777777" w:rsidR="00041026" w:rsidRDefault="00041026">
      <w:r>
        <w:separator/>
      </w:r>
    </w:p>
    <w:p w14:paraId="31ACCC2F" w14:textId="77777777" w:rsidR="00041026" w:rsidRDefault="00041026"/>
  </w:footnote>
  <w:footnote w:type="continuationSeparator" w:id="0">
    <w:p w14:paraId="2D44BA46" w14:textId="77777777" w:rsidR="00041026" w:rsidRDefault="00041026">
      <w:r>
        <w:continuationSeparator/>
      </w:r>
    </w:p>
    <w:p w14:paraId="40AAE97E" w14:textId="77777777" w:rsidR="00041026" w:rsidRDefault="00041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CBD58E2"/>
    <w:multiLevelType w:val="hybridMultilevel"/>
    <w:tmpl w:val="0B7AA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26"/>
  </w:num>
  <w:num w:numId="33">
    <w:abstractNumId w:val="2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6B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1026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258F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1CE2"/>
    <w:rsid w:val="0011202D"/>
    <w:rsid w:val="001129DF"/>
    <w:rsid w:val="001134E9"/>
    <w:rsid w:val="00113FFC"/>
    <w:rsid w:val="001145F7"/>
    <w:rsid w:val="00115F1F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570DA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498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4A8B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6F1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45BE"/>
    <w:rsid w:val="00446C4D"/>
    <w:rsid w:val="00446EC0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1B80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27D2"/>
    <w:rsid w:val="005D3179"/>
    <w:rsid w:val="005D3910"/>
    <w:rsid w:val="005D391E"/>
    <w:rsid w:val="005D7D80"/>
    <w:rsid w:val="005E5838"/>
    <w:rsid w:val="005E6AD7"/>
    <w:rsid w:val="005F2EF5"/>
    <w:rsid w:val="005F30BA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1BEE"/>
    <w:rsid w:val="00614B89"/>
    <w:rsid w:val="00622F79"/>
    <w:rsid w:val="00623693"/>
    <w:rsid w:val="0063291A"/>
    <w:rsid w:val="00632AE4"/>
    <w:rsid w:val="00636EF8"/>
    <w:rsid w:val="00642AC7"/>
    <w:rsid w:val="0064556E"/>
    <w:rsid w:val="00645957"/>
    <w:rsid w:val="006466E5"/>
    <w:rsid w:val="00652EA9"/>
    <w:rsid w:val="006547DB"/>
    <w:rsid w:val="0066517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08E"/>
    <w:rsid w:val="00711A69"/>
    <w:rsid w:val="00715BB8"/>
    <w:rsid w:val="00724656"/>
    <w:rsid w:val="007249B6"/>
    <w:rsid w:val="007258D4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6A3F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E73BA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4A91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87845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37C09"/>
    <w:rsid w:val="0094134F"/>
    <w:rsid w:val="009433B3"/>
    <w:rsid w:val="009444EA"/>
    <w:rsid w:val="0094563F"/>
    <w:rsid w:val="00946790"/>
    <w:rsid w:val="00947552"/>
    <w:rsid w:val="00952554"/>
    <w:rsid w:val="00955A56"/>
    <w:rsid w:val="00955D8E"/>
    <w:rsid w:val="00957F31"/>
    <w:rsid w:val="0096358A"/>
    <w:rsid w:val="00965063"/>
    <w:rsid w:val="009668BB"/>
    <w:rsid w:val="009718F5"/>
    <w:rsid w:val="00973E18"/>
    <w:rsid w:val="0097658C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6732"/>
    <w:rsid w:val="00A4792C"/>
    <w:rsid w:val="00A542D0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2713"/>
    <w:rsid w:val="00AF373E"/>
    <w:rsid w:val="00AF444F"/>
    <w:rsid w:val="00AF5E87"/>
    <w:rsid w:val="00B0014E"/>
    <w:rsid w:val="00B014CF"/>
    <w:rsid w:val="00B019A0"/>
    <w:rsid w:val="00B03711"/>
    <w:rsid w:val="00B06283"/>
    <w:rsid w:val="00B06CFB"/>
    <w:rsid w:val="00B06E30"/>
    <w:rsid w:val="00B11C2C"/>
    <w:rsid w:val="00B12AAE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45B8"/>
    <w:rsid w:val="00B55821"/>
    <w:rsid w:val="00B5748A"/>
    <w:rsid w:val="00B61177"/>
    <w:rsid w:val="00B653F1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0D7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827"/>
    <w:rsid w:val="00CC03CB"/>
    <w:rsid w:val="00CC2E2A"/>
    <w:rsid w:val="00CC3C7A"/>
    <w:rsid w:val="00CC45D4"/>
    <w:rsid w:val="00CD1D83"/>
    <w:rsid w:val="00CD278E"/>
    <w:rsid w:val="00CD3095"/>
    <w:rsid w:val="00CD3B5E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32A8C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48C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CEC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7B0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3518</Characters>
  <Application>Microsoft Office Word</Application>
  <DocSecurity>0</DocSecurity>
  <Lines>29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VTG</cp:lastModifiedBy>
  <cp:revision>7</cp:revision>
  <cp:lastPrinted>2023-10-10T14:18:00Z</cp:lastPrinted>
  <dcterms:created xsi:type="dcterms:W3CDTF">2023-10-10T14:10:00Z</dcterms:created>
  <dcterms:modified xsi:type="dcterms:W3CDTF">2023-10-23T14:59:00Z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