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69EC3E8D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0F462B" w:rsidRPr="00D46484">
        <w:rPr>
          <w:rFonts w:ascii="Segoe UI" w:hAnsi="Segoe UI" w:cs="Segoe UI"/>
          <w:sz w:val="24"/>
          <w:szCs w:val="24"/>
        </w:rPr>
        <w:t>Baumaschinenfahrer</w:t>
      </w:r>
      <w:r w:rsidR="000F462B">
        <w:rPr>
          <w:rFonts w:ascii="Segoe UI" w:hAnsi="Segoe UI" w:cs="Segoe UI"/>
          <w:sz w:val="24"/>
          <w:szCs w:val="24"/>
        </w:rPr>
        <w:t>in</w:t>
      </w:r>
      <w:r w:rsidR="000F462B" w:rsidRPr="00D46484">
        <w:rPr>
          <w:rFonts w:ascii="Segoe UI" w:hAnsi="Segoe UI" w:cs="Segoe UI"/>
          <w:sz w:val="24"/>
          <w:szCs w:val="24"/>
        </w:rPr>
        <w:t xml:space="preserve"> / ABC Spürer</w:t>
      </w:r>
      <w:r w:rsidR="000F462B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5440A3B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Verlad auf Tiefbettanhänger und Ladungssicherung nach SVG</w:t>
            </w:r>
          </w:p>
          <w:p w14:paraId="2E494A22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Grundverständnis im Bereich Ausnahmetransport</w:t>
            </w:r>
          </w:p>
          <w:p w14:paraId="4CADC5E1" w14:textId="7C497396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Selbständige Anwendung von Rad</w:t>
            </w:r>
            <w:r w:rsidR="00A66A08">
              <w:rPr>
                <w:rFonts w:ascii="Segoe UI" w:hAnsi="Segoe UI" w:cs="Segoe UI"/>
                <w:color w:val="000000" w:themeColor="text1"/>
                <w:sz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 und Raupenbagger sowie Rad</w:t>
            </w:r>
            <w:r w:rsidR="00A66A08">
              <w:rPr>
                <w:rFonts w:ascii="Segoe UI" w:hAnsi="Segoe UI" w:cs="Segoe UI"/>
                <w:color w:val="000000" w:themeColor="text1"/>
                <w:sz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 und Kettenlader von 5–28t</w:t>
            </w:r>
          </w:p>
          <w:p w14:paraId="418D262D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Selbständige Anwendung von Walzen, Dumper und Verdichtungsgeräten</w:t>
            </w:r>
          </w:p>
          <w:p w14:paraId="5EFE533A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Kenntnisse in der Dekontamination von Personen nach einer Verschmutzung mit radioaktiven oder chemischen Agenzien</w:t>
            </w:r>
          </w:p>
          <w:p w14:paraId="5DCBD1D4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Aufspüren von radioaktiven und chemischen Agenzien mittels speziellen Spürgeräts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57E6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D510830" w14:textId="369D0819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Anwendung von Baumaschinen in den Bereichen Graben, Planieren, Beladen von Lastwagen, Heben von Lasten, </w:t>
            </w:r>
            <w:r w:rsidR="00A66A08">
              <w:rPr>
                <w:rFonts w:ascii="Segoe UI" w:hAnsi="Segoe UI" w:cs="Segoe UI"/>
                <w:color w:val="000000" w:themeColor="text1"/>
                <w:sz w:val="22"/>
              </w:rPr>
              <w:t>V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erschieben und </w:t>
            </w:r>
            <w:r w:rsidR="00A66A08">
              <w:rPr>
                <w:rFonts w:ascii="Segoe UI" w:hAnsi="Segoe UI" w:cs="Segoe UI"/>
                <w:color w:val="000000" w:themeColor="text1"/>
                <w:sz w:val="22"/>
              </w:rPr>
              <w:t>V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>erarbeiten von Materialien</w:t>
            </w:r>
          </w:p>
          <w:p w14:paraId="68B3E3FD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Instandhaltung und Unterhalt von Baumaschinen</w:t>
            </w:r>
          </w:p>
          <w:p w14:paraId="583E56D9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Das Einrichten von Dekontaminationsplätzen und die Durchführung der Reinigung</w:t>
            </w:r>
          </w:p>
          <w:p w14:paraId="6A9698EC" w14:textId="77777777" w:rsidR="000F462B" w:rsidRDefault="000F462B" w:rsidP="000F462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Das Aufspüren von verstrahltem oder chemisch vergiftetem Gelände und Markierung dessen</w:t>
            </w:r>
          </w:p>
          <w:p w14:paraId="402FF700" w14:textId="77777777" w:rsidR="009B4221" w:rsidRPr="00605EC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05EC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AEDD1A5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</w:t>
            </w:r>
            <w:r w:rsidR="000F462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268D7E9E" w14:textId="77777777" w:rsidR="00F863A6" w:rsidRPr="00242DA1" w:rsidRDefault="00F863A6" w:rsidP="000F462B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462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A08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