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7DF0CE0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B4823" w:rsidRPr="00FA154E">
        <w:rPr>
          <w:rFonts w:ascii="Segoe UI" w:hAnsi="Segoe UI" w:cs="Segoe UI"/>
          <w:sz w:val="24"/>
          <w:szCs w:val="24"/>
        </w:rPr>
        <w:t>Luftwaffensappeur</w:t>
      </w:r>
      <w:r w:rsidR="00BB4823">
        <w:rPr>
          <w:rFonts w:ascii="Segoe UI" w:hAnsi="Segoe UI" w:cs="Segoe UI"/>
          <w:sz w:val="24"/>
          <w:szCs w:val="24"/>
        </w:rPr>
        <w:t>in</w:t>
      </w:r>
      <w:r w:rsidR="00E94AA8">
        <w:rPr>
          <w:rFonts w:ascii="Segoe UI" w:hAnsi="Segoe UI" w:cs="Segoe UI"/>
          <w:sz w:val="24"/>
          <w:szCs w:val="24"/>
        </w:rPr>
        <w:t xml:space="preserve"> / Fahrerin B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8855AC8" w14:textId="77777777" w:rsidR="00E94AA8" w:rsidRPr="000704B9" w:rsidRDefault="00E94AA8" w:rsidP="00E94A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Ein- und Ausbau von behelfsmässigen Brückensystemen</w:t>
            </w:r>
          </w:p>
          <w:p w14:paraId="4EF877D5" w14:textId="77777777" w:rsidR="00E94AA8" w:rsidRPr="000704B9" w:rsidRDefault="00E94AA8" w:rsidP="00E94A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Grundlagen der Sprengtechnik in Theorie und Praxis</w:t>
            </w:r>
          </w:p>
          <w:p w14:paraId="2D1A03AB" w14:textId="77777777" w:rsidR="00E94AA8" w:rsidRDefault="00E94AA8" w:rsidP="00E94A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Bau und Unterhalt von Verkehrswegen, Landepisten und Betriebsflächen</w:t>
            </w:r>
          </w:p>
          <w:p w14:paraId="5A0B7011" w14:textId="77777777" w:rsidR="00E94AA8" w:rsidRPr="00F87292" w:rsidRDefault="00E94AA8" w:rsidP="00E94A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F87292">
              <w:rPr>
                <w:rFonts w:ascii="Segoe UI" w:hAnsi="Segoe UI" w:cs="Segoe UI"/>
                <w:color w:val="000000" w:themeColor="text1"/>
                <w:sz w:val="22"/>
              </w:rPr>
              <w:t>Führen von Fahrzeugen bis 3,5 t auch unter erschwerten Bedingungen auf der Strasse und im Gelände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57E6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E9E6C34" w14:textId="77777777" w:rsidR="00E94AA8" w:rsidRPr="000704B9" w:rsidRDefault="00E94AA8" w:rsidP="00E94A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Einsatz und Unterhalt von Kleingeräten zur Bearbeitung von Holz, Stahl und Stein</w:t>
            </w:r>
          </w:p>
          <w:p w14:paraId="5EA9DDE1" w14:textId="77777777" w:rsidR="00E94AA8" w:rsidRPr="000704B9" w:rsidRDefault="00E94AA8" w:rsidP="00E94A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Allgemeine Tiefbauarbeiten und Einbau von Schwarzbelag</w:t>
            </w:r>
          </w:p>
          <w:p w14:paraId="35B1FC85" w14:textId="6E74132F" w:rsidR="00E94AA8" w:rsidRDefault="00E94AA8" w:rsidP="00E94A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Einsatz von Sprengmittel</w:t>
            </w:r>
            <w:r w:rsidR="009C7A9F">
              <w:rPr>
                <w:rFonts w:ascii="Segoe UI" w:hAnsi="Segoe UI" w:cs="Segoe UI"/>
                <w:color w:val="000000" w:themeColor="text1"/>
                <w:sz w:val="22"/>
              </w:rPr>
              <w:t>n</w:t>
            </w: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 xml:space="preserve"> im Bereich von zerstörungs- oder bautechnischen Sprengarbeiten</w:t>
            </w:r>
          </w:p>
          <w:p w14:paraId="083156DB" w14:textId="77777777" w:rsidR="00E94AA8" w:rsidRPr="00F87292" w:rsidRDefault="00E94AA8" w:rsidP="00E94A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F87292">
              <w:rPr>
                <w:rFonts w:ascii="Segoe UI" w:hAnsi="Segoe UI" w:cs="Segoe UI"/>
                <w:color w:val="000000" w:themeColor="text1"/>
                <w:sz w:val="22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605EC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605EC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7A9F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4823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4AA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