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2176B848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781BE7">
        <w:rPr>
          <w:rFonts w:ascii="Segoe UI" w:hAnsi="Segoe UI" w:cs="Segoe UI"/>
          <w:sz w:val="24"/>
          <w:szCs w:val="24"/>
        </w:rPr>
        <w:t xml:space="preserve"> / </w:t>
      </w:r>
      <w:r w:rsidR="00C25202" w:rsidRPr="00AE4284">
        <w:rPr>
          <w:rFonts w:ascii="Segoe UI" w:hAnsi="Segoe UI" w:cs="Segoe UI"/>
          <w:sz w:val="24"/>
          <w:szCs w:val="24"/>
        </w:rPr>
        <w:t>FUG Fahrer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2307CA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307C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6F3A5E0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0C2F4B0F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D5F3945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1924D619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</w:t>
            </w:r>
            <w:proofErr w:type="spellEnd"/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Gütern (EURO Paletten) und deren Transport (Handgabelhubwagen / Deichselgerät mit Verlade- und Palettierzubehör)</w:t>
            </w:r>
          </w:p>
          <w:p w14:paraId="3536423E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7D981119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4DD4DE59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R1, R2 und dem Feldumschlagegerät</w:t>
            </w:r>
          </w:p>
          <w:p w14:paraId="09C9197B" w14:textId="77777777" w:rsidR="001D005F" w:rsidRPr="002307CA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2307CA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307CA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C56554C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5713239E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144A4A87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0119E6A0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59B149D6" w14:textId="77777777" w:rsidR="00C25202" w:rsidRPr="002307CA" w:rsidRDefault="00C25202" w:rsidP="00C2520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07CA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Schubmast-, Gabelstaplern und dem Feldumschlagegerät</w:t>
            </w:r>
          </w:p>
          <w:p w14:paraId="7017194F" w14:textId="77777777" w:rsidR="001D005F" w:rsidRPr="002307C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2307C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2307CA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DD0D67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2307C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7CA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1BE7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D0F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202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2020-10-27T13:17:00Z</cp:lastPrinted>
  <dcterms:created xsi:type="dcterms:W3CDTF">2020-11-16T09:56:00Z</dcterms:created>
  <dcterms:modified xsi:type="dcterms:W3CDTF">2023-02-27T15:09:00Z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