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08071E5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C32419" w:rsidRPr="009A78A0">
        <w:rPr>
          <w:rFonts w:ascii="Segoe UI" w:hAnsi="Segoe UI" w:cs="Segoe UI"/>
          <w:sz w:val="24"/>
          <w:szCs w:val="24"/>
        </w:rPr>
        <w:t>Funkaufklärer</w:t>
      </w:r>
      <w:r w:rsidR="00C32419">
        <w:rPr>
          <w:rFonts w:ascii="Segoe UI" w:hAnsi="Segoe UI" w:cs="Segoe UI"/>
          <w:sz w:val="24"/>
          <w:szCs w:val="24"/>
        </w:rPr>
        <w:t>in</w:t>
      </w:r>
      <w:r w:rsidR="00C32419" w:rsidRPr="009A78A0">
        <w:rPr>
          <w:rFonts w:ascii="Segoe UI" w:hAnsi="Segoe UI" w:cs="Segoe UI"/>
          <w:sz w:val="24"/>
          <w:szCs w:val="24"/>
        </w:rPr>
        <w:t xml:space="preserve"> Sensor Auswerter</w:t>
      </w:r>
      <w:r w:rsidR="00C32419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AE40F62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1D2536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FFB299E" w14:textId="4A2F2068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31785DEE" w14:textId="0CFB0EB9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71B84189" w14:textId="167099FD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44B708F3" w14:textId="78D03D06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3CDF2692" w14:textId="67C1FF45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umfangreichen/komplexen Applikationen</w:t>
            </w:r>
          </w:p>
          <w:p w14:paraId="57D79624" w14:textId="186AF015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Geo Tools (GeoMaps, KADAS) zur Beurteilung von mobilen Sende- und Empfangs- Standorten im elektromagnetischen Umfeld</w:t>
            </w:r>
          </w:p>
          <w:p w14:paraId="04A7BA86" w14:textId="59890C53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Methodenorientierte Herangehensweise bei komplexen Problemstellungen</w:t>
            </w:r>
          </w:p>
          <w:p w14:paraId="158923E3" w14:textId="77777777" w:rsidR="00C32419" w:rsidRPr="008D452A" w:rsidRDefault="00C32419" w:rsidP="00C3241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1326640" w14:textId="79AABCEB" w:rsidR="00C32419" w:rsidRPr="0081475A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Zugsgrösse (ca. 40 Personen</w:t>
            </w:r>
            <w:r w:rsidRPr="0081475A">
              <w:rPr>
                <w:rFonts w:ascii="Segoe UI" w:hAnsi="Segoe UI" w:cs="Segoe UI"/>
                <w:sz w:val="20"/>
              </w:rPr>
              <w:t>) autonom über längere Zeit mit einfachen Mitteln improvisierte technische Standorte aufbauen</w:t>
            </w:r>
            <w:r>
              <w:rPr>
                <w:rFonts w:ascii="Segoe UI" w:hAnsi="Segoe UI" w:cs="Segoe UI"/>
                <w:sz w:val="20"/>
              </w:rPr>
              <w:t>, betreiben und schützen</w:t>
            </w:r>
          </w:p>
          <w:p w14:paraId="35899425" w14:textId="261E6B60" w:rsidR="00C32419" w:rsidRPr="009B749C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B749C">
              <w:rPr>
                <w:rFonts w:ascii="Segoe UI" w:hAnsi="Segoe UI" w:cs="Segoe UI"/>
                <w:color w:val="000000" w:themeColor="text1"/>
                <w:sz w:val="20"/>
              </w:rPr>
              <w:t>Zeitgerechte Bearbeitung von Kundenaufträgen, basierend auf einer methodenorientierten Herangehensweise</w:t>
            </w:r>
          </w:p>
          <w:p w14:paraId="7A0522AF" w14:textId="7809F9D8" w:rsidR="00C32419" w:rsidRDefault="00C32419" w:rsidP="00C324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Beladen von Fahrzeugen gemäss Strassenverkehrsvorschriften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536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41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E0D112-60DD-4204-A4F8-52780B7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