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skip this step entirely this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or Battlefield.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an effect usable without building it as an Upgrade. The commander may play it for free; any other player may also play it by paying its cost, if eligible (worker at Command or Battlefield).</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Overrun Tracker 1 (see 3.4 Overrunning Lanes); the player Progress Track is not affected by overruns directly.</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at the time of this edit (that count has grown substantially since, after the archetype-based stat-variation system was added later in playtesting);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