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D6875" w14:textId="77777777" w:rsidR="001F0EF9" w:rsidRPr="001F0EF9" w:rsidRDefault="001F0EF9" w:rsidP="001F0EF9">
      <w:r w:rsidRPr="001F0EF9">
        <w:rPr>
          <w:b/>
          <w:bCs/>
        </w:rPr>
        <w:t>Key Observations from the Boxplot:</w:t>
      </w:r>
    </w:p>
    <w:p w14:paraId="1B4D4326" w14:textId="6F50BADB" w:rsidR="001F0EF9" w:rsidRPr="001F0EF9" w:rsidRDefault="001F0EF9" w:rsidP="001F0EF9">
      <w:pPr>
        <w:numPr>
          <w:ilvl w:val="0"/>
          <w:numId w:val="1"/>
        </w:numPr>
      </w:pPr>
      <w:r w:rsidRPr="001F0EF9">
        <w:rPr>
          <w:b/>
          <w:bCs/>
        </w:rPr>
        <w:t>Median Comparison:</w:t>
      </w:r>
      <w:r w:rsidRPr="001F0EF9">
        <w:t xml:space="preserve"> The median </w:t>
      </w:r>
      <w:r>
        <w:t xml:space="preserve">Total Dissolved Solids </w:t>
      </w:r>
      <w:r>
        <w:rPr>
          <w:b/>
          <w:bCs/>
        </w:rPr>
        <w:t>(</w:t>
      </w:r>
      <w:r w:rsidRPr="00B857BC">
        <w:rPr>
          <w:b/>
          <w:bCs/>
        </w:rPr>
        <w:t>TDS</w:t>
      </w:r>
      <w:r>
        <w:rPr>
          <w:b/>
          <w:bCs/>
        </w:rPr>
        <w:t>)</w:t>
      </w:r>
      <w:r w:rsidRPr="00B857BC">
        <w:rPr>
          <w:b/>
          <w:bCs/>
        </w:rPr>
        <w:t xml:space="preserve"> </w:t>
      </w:r>
      <w:r w:rsidRPr="001F0EF9">
        <w:t>for drinkable water (Potability = 1) appears slightly lower than for non-drinkable water (Potability = 0), suggesting potable water may have lower average solids.</w:t>
      </w:r>
    </w:p>
    <w:p w14:paraId="7E15B8D5" w14:textId="3FD7C7AF" w:rsidR="001F0EF9" w:rsidRPr="001F0EF9" w:rsidRDefault="001F0EF9" w:rsidP="001F0EF9">
      <w:pPr>
        <w:numPr>
          <w:ilvl w:val="0"/>
          <w:numId w:val="1"/>
        </w:numPr>
      </w:pPr>
      <w:r w:rsidRPr="001F0EF9">
        <w:rPr>
          <w:b/>
          <w:bCs/>
        </w:rPr>
        <w:t>Spread/Variability:</w:t>
      </w:r>
      <w:r w:rsidRPr="001F0EF9">
        <w:t xml:space="preserve"> Both groups show wide interquartile ranges (IQRs), indicating high variability in </w:t>
      </w:r>
      <w:r>
        <w:t xml:space="preserve">Total Dissolved Solids </w:t>
      </w:r>
      <w:r>
        <w:rPr>
          <w:b/>
          <w:bCs/>
        </w:rPr>
        <w:t>(</w:t>
      </w:r>
      <w:r w:rsidRPr="00B857BC">
        <w:rPr>
          <w:b/>
          <w:bCs/>
        </w:rPr>
        <w:t>TDS</w:t>
      </w:r>
      <w:r>
        <w:rPr>
          <w:b/>
          <w:bCs/>
        </w:rPr>
        <w:t>)</w:t>
      </w:r>
      <w:r w:rsidRPr="00B857BC">
        <w:rPr>
          <w:b/>
          <w:bCs/>
        </w:rPr>
        <w:t xml:space="preserve"> </w:t>
      </w:r>
      <w:r w:rsidRPr="001F0EF9">
        <w:t>within each category. Non-drinkable water may have a slightly larger spread.</w:t>
      </w:r>
    </w:p>
    <w:p w14:paraId="2260ADC7" w14:textId="154CBEEA" w:rsidR="001F0EF9" w:rsidRPr="001F0EF9" w:rsidRDefault="001F0EF9" w:rsidP="001F0EF9">
      <w:pPr>
        <w:numPr>
          <w:ilvl w:val="0"/>
          <w:numId w:val="1"/>
        </w:numPr>
      </w:pPr>
      <w:r w:rsidRPr="001F0EF9">
        <w:rPr>
          <w:b/>
          <w:bCs/>
        </w:rPr>
        <w:t>Outliers:</w:t>
      </w:r>
      <w:r w:rsidRPr="001F0EF9">
        <w:t xml:space="preserve"> Multiple high-end outliers are visible in both groups, especially in the non-drinkable water samples. This shows that some samples have extremely high </w:t>
      </w:r>
      <w:r>
        <w:t xml:space="preserve">Total Dissolved Solids </w:t>
      </w:r>
      <w:r>
        <w:rPr>
          <w:b/>
          <w:bCs/>
        </w:rPr>
        <w:t>(</w:t>
      </w:r>
      <w:r w:rsidRPr="00B857BC">
        <w:rPr>
          <w:b/>
          <w:bCs/>
        </w:rPr>
        <w:t>TDS</w:t>
      </w:r>
      <w:r>
        <w:rPr>
          <w:b/>
          <w:bCs/>
        </w:rPr>
        <w:t>)</w:t>
      </w:r>
      <w:r w:rsidRPr="00B857BC">
        <w:rPr>
          <w:b/>
          <w:bCs/>
        </w:rPr>
        <w:t xml:space="preserve"> </w:t>
      </w:r>
      <w:r w:rsidRPr="001F0EF9">
        <w:t>values regardless of potability.</w:t>
      </w:r>
    </w:p>
    <w:p w14:paraId="71F7826F" w14:textId="00F5EAC2" w:rsidR="001F0EF9" w:rsidRPr="001F0EF9" w:rsidRDefault="001F0EF9" w:rsidP="001F0EF9">
      <w:pPr>
        <w:numPr>
          <w:ilvl w:val="0"/>
          <w:numId w:val="1"/>
        </w:numPr>
      </w:pPr>
      <w:r w:rsidRPr="001F0EF9">
        <w:rPr>
          <w:b/>
          <w:bCs/>
        </w:rPr>
        <w:t>Distribution Shape:</w:t>
      </w:r>
      <w:r w:rsidRPr="001F0EF9">
        <w:t xml:space="preserve"> The median line in each box is closer to the lower quartile, suggesting a right-skewed distribution of </w:t>
      </w:r>
      <w:r>
        <w:t xml:space="preserve">Total Dissolved Solids </w:t>
      </w:r>
      <w:r>
        <w:rPr>
          <w:b/>
          <w:bCs/>
        </w:rPr>
        <w:t>(</w:t>
      </w:r>
      <w:r w:rsidRPr="00B857BC">
        <w:rPr>
          <w:b/>
          <w:bCs/>
        </w:rPr>
        <w:t>TDS</w:t>
      </w:r>
      <w:r>
        <w:rPr>
          <w:b/>
          <w:bCs/>
        </w:rPr>
        <w:t>)</w:t>
      </w:r>
      <w:r w:rsidRPr="00B857BC">
        <w:rPr>
          <w:b/>
          <w:bCs/>
        </w:rPr>
        <w:t xml:space="preserve"> </w:t>
      </w:r>
      <w:r w:rsidRPr="001F0EF9">
        <w:t>in both groups.</w:t>
      </w:r>
    </w:p>
    <w:p w14:paraId="122B0E1B" w14:textId="3B3CFA9A" w:rsidR="00A474F5" w:rsidRDefault="001F0EF9" w:rsidP="001F0EF9">
      <w:pPr>
        <w:numPr>
          <w:ilvl w:val="0"/>
          <w:numId w:val="1"/>
        </w:numPr>
      </w:pPr>
      <w:r w:rsidRPr="001F0EF9">
        <w:rPr>
          <w:b/>
          <w:bCs/>
        </w:rPr>
        <w:t>Overlap:</w:t>
      </w:r>
      <w:r w:rsidRPr="001F0EF9">
        <w:t xml:space="preserve"> The boxes significantly overlap, meaning </w:t>
      </w:r>
      <w:r>
        <w:t xml:space="preserve">Total Dissolved Solids </w:t>
      </w:r>
      <w:r>
        <w:rPr>
          <w:b/>
          <w:bCs/>
        </w:rPr>
        <w:t>(</w:t>
      </w:r>
      <w:r w:rsidRPr="00B857BC">
        <w:rPr>
          <w:b/>
          <w:bCs/>
        </w:rPr>
        <w:t>TDS</w:t>
      </w:r>
      <w:r>
        <w:rPr>
          <w:b/>
          <w:bCs/>
        </w:rPr>
        <w:t>)</w:t>
      </w:r>
      <w:r w:rsidRPr="00B857BC">
        <w:rPr>
          <w:b/>
          <w:bCs/>
        </w:rPr>
        <w:t xml:space="preserve"> </w:t>
      </w:r>
      <w:r w:rsidRPr="001F0EF9">
        <w:t>alone may not be a strong distinguishing factor between drinkable and non-drinkable water—other predictors likely interact with TDS.</w:t>
      </w:r>
    </w:p>
    <w:sectPr w:rsidR="00A474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4128A"/>
    <w:multiLevelType w:val="multilevel"/>
    <w:tmpl w:val="BAA8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251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EF9"/>
    <w:rsid w:val="00174DD1"/>
    <w:rsid w:val="001F0EF9"/>
    <w:rsid w:val="00435A49"/>
    <w:rsid w:val="008C312F"/>
    <w:rsid w:val="00A4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6AAFD"/>
  <w15:chartTrackingRefBased/>
  <w15:docId w15:val="{1F06043C-D315-449F-B490-C14B5870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 lappy</dc:creator>
  <cp:keywords/>
  <dc:description/>
  <cp:lastModifiedBy>tc lappy</cp:lastModifiedBy>
  <cp:revision>1</cp:revision>
  <dcterms:created xsi:type="dcterms:W3CDTF">2025-12-12T08:00:00Z</dcterms:created>
  <dcterms:modified xsi:type="dcterms:W3CDTF">2025-12-12T08:03:00Z</dcterms:modified>
</cp:coreProperties>
</file>