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Freight Load Rate Prediction</w:t>
      </w:r>
    </w:p>
    <w:p>
      <w:pPr>
        <w:spacing w:after="80"/>
      </w:pPr>
      <w:r>
        <w:rPr>
          <w:i/>
          <w:sz w:val="18"/>
        </w:rPr>
        <w:t>Spotter - Machine Learning Engineer assessment. Code, metrics and figures are reproducible with `python -m src.pipeline` (see README).</w:t>
      </w:r>
    </w:p>
    <w:p>
      <w:pPr>
        <w:pStyle w:val="Heading1"/>
      </w:pPr>
      <w:r>
        <w:t>Summary</w:t>
      </w:r>
    </w:p>
    <w:p>
      <w:pPr>
        <w:pStyle w:val="ListBullet"/>
        <w:spacing w:after="20"/>
      </w:pPr>
      <w:r>
        <w:rPr>
          <w:b/>
        </w:rPr>
        <w:t xml:space="preserve">Task. </w:t>
      </w:r>
      <w:r>
        <w:t>Predict posted_rate for 12,000 loads in Nov-Dec 2025 from 48,000 labelled loads in Jan-Oct 2025, and a daily December curve for one fixed lane.</w:t>
      </w:r>
    </w:p>
    <w:p>
      <w:pPr>
        <w:pStyle w:val="ListBullet"/>
        <w:spacing w:after="20"/>
      </w:pPr>
      <w:r>
        <w:rPr>
          <w:b/>
        </w:rPr>
        <w:t xml:space="preserve">Validation. </w:t>
      </w:r>
      <w:r>
        <w:t>Rolling-origin time folds with a 2-month horizon (the real setup), plus a city-holdout and a random split for comparison. Every learned statistic is refitted inside each fold.</w:t>
      </w:r>
    </w:p>
    <w:p>
      <w:pPr>
        <w:pStyle w:val="ListBullet"/>
        <w:spacing w:after="20"/>
      </w:pPr>
      <w:r>
        <w:rPr>
          <w:b/>
        </w:rPr>
        <w:t xml:space="preserve">Model. </w:t>
      </w:r>
      <w:r>
        <w:t>Two stages on log rate-per-mile: a LightGBM tree for the load-level price (lane/city/region encodings, distance, equipment, weight, quote_signal and its daily regime) plus a small ridge model for day-level effects (weekday, quarter-end ramp).</w:t>
      </w:r>
    </w:p>
    <w:p>
      <w:pPr>
        <w:pStyle w:val="ListBullet"/>
        <w:spacing w:after="20"/>
      </w:pPr>
      <w:r>
        <w:rPr>
          <w:b/>
        </w:rPr>
        <w:t xml:space="preserve">Result (final model A34). </w:t>
      </w:r>
      <w:r>
        <w:t>Time-fold MAE $40.4 (MAPE 1.85%), worst fold $64.1; city holdout $31.3, random split $28.6; vs $71.8 for ridge and $70.1 for a plain LightGBM on all features.</w:t>
      </w:r>
    </w:p>
    <w:p>
      <w:pPr>
        <w:pStyle w:val="ListBullet"/>
        <w:spacing w:after="20"/>
      </w:pPr>
      <w:r>
        <w:rPr>
          <w:b/>
        </w:rPr>
        <w:t xml:space="preserve">Key finding. </w:t>
      </w:r>
      <w:r>
        <w:t>quote_signal looked useless (pooled correlation ~0) but its relation to price flips sign between regimes that the daily mean quote identifies; modelling the regime is the largest single accuracy gain.</w:t>
      </w:r>
    </w:p>
    <w:p>
      <w:pPr>
        <w:pStyle w:val="Heading1"/>
      </w:pPr>
      <w:r>
        <w:t>1. Data and key findings</w:t>
      </w:r>
    </w:p>
    <w:p>
      <w:pPr>
        <w:pStyle w:val="ListBullet"/>
        <w:spacing w:after="20"/>
      </w:pPr>
      <w:r>
        <w:rPr>
          <w:b/>
        </w:rPr>
        <w:t xml:space="preserve">Split in time. </w:t>
      </w:r>
      <w:r>
        <w:t>Training covers 2025-01-01..10-31, validation 11-01..12-31: the task is a 2-month-ahead forecast. 8 cities appear only in validation (1,447 loads, 12.1%); every other validation load is on a lane seen in training (4,014 lanes, median 10 loads each).</w:t>
      </w:r>
    </w:p>
    <w:p>
      <w:pPr>
        <w:pStyle w:val="ListBullet"/>
        <w:spacing w:after="20"/>
      </w:pPr>
      <w:r>
        <w:rPr>
          <w:b/>
        </w:rPr>
        <w:t xml:space="preserve">Price structure. </w:t>
      </w:r>
      <w:r>
        <w:t>Rate per mile falls with distance (~$2.65 below 330 mi, ~$1.89 above 2,200 mi); Reefer &gt; Flatbed &gt; Dry Van; heavier loads pay up to ~6% more.</w:t>
      </w:r>
    </w:p>
    <w:p>
      <w:pPr>
        <w:pStyle w:val="ListBullet"/>
        <w:spacing w:after="20"/>
      </w:pPr>
      <w:r>
        <w:rPr>
          <w:b/>
        </w:rPr>
        <w:t xml:space="preserve">market_index </w:t>
      </w:r>
      <w:r>
        <w:t>is one value per day plus small per-load noise (within-day sd 0.025 vs 0.168 overall), with a strong weekly cycle (Thu high, Sun low). Its slow level is confounded with time: low in Jan-Feb when prices were low, low again in Aug-Oct when they were not.</w:t>
      </w:r>
    </w:p>
    <w:p>
      <w:pPr>
        <w:pStyle w:val="ListBullet"/>
        <w:spacing w:after="20"/>
      </w:pPr>
      <w:r>
        <w:rPr>
          <w:b/>
        </w:rPr>
        <w:t xml:space="preserve">Calendar. </w:t>
      </w:r>
      <w:r>
        <w:t>Prices rise over the last ~3 weeks of each quarter (Mar, Jun, Sep) and drop after; weekday effect about +/-0.8%; a ~5% upward drift Jan-Oct not explained by the index. No visible public-holiday effect.</w:t>
      </w:r>
    </w:p>
    <w:p>
      <w:pPr>
        <w:pStyle w:val="ListBullet"/>
        <w:spacing w:after="20"/>
      </w:pPr>
      <w:r>
        <w:rPr>
          <w:b/>
        </w:rPr>
        <w:t xml:space="preserve">quote_signal regimes. </w:t>
      </w:r>
      <w:r>
        <w:t>Pooled correlation with price is -0.04, so it first looked like noise, not leakage. Per week, on long loads, the correlation ranges -0.32..+0.49 and tracks the weekly mean quote (r = 0.87): positive when the mean quote is high (&gt; 2.1: late Feb, Mar, Jun, Sep), negative when low (&lt; 2.0: Apr, May, Jul, Oct), ~0 in between (Aug). The regimes cancel out when pooled. Nov-Dec sit at ~2.05, the transition zone.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43600" cy="191564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quote_regim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56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sz w:val="17"/>
        </w:rPr>
        <w:t>Figure 1. Left: weekly mean quote_signal forms three regimes. Right: the quote-price correlation per week follows the regime.</w:t>
      </w:r>
    </w:p>
    <w:p>
      <w:pPr>
        <w:pStyle w:val="Heading1"/>
      </w:pPr>
      <w:r>
        <w:t>2. Data-quality issues and fixes</w:t>
      </w:r>
    </w:p>
    <w:p>
      <w:pPr>
        <w:spacing w:after="80"/>
      </w:pPr>
      <w:r>
        <w:rPr>
          <w:i w:val="0"/>
        </w:rPr>
        <w:t>Validation rows are never dropped; feature problems are fixed or imputed and flagged. Only training rows with a corrupted target are removed. Fitted rules (weight medians, the corrupted-label filter) are refitted inside every CV fold.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736"/>
            <w:shd w:val="clear" w:color="auto" w:fill="064A56"/>
          </w:tcPr>
          <w:p>
            <w:r/>
            <w:r>
              <w:rPr>
                <w:b/>
                <w:color w:val="FFFFFF"/>
                <w:sz w:val="16"/>
              </w:rPr>
              <w:t>Rule</w:t>
            </w:r>
          </w:p>
        </w:tc>
        <w:tc>
          <w:tcPr>
            <w:tcW w:type="dxa" w:w="4608"/>
            <w:shd w:val="clear" w:color="auto" w:fill="064A56"/>
          </w:tcPr>
          <w:p>
            <w:r/>
            <w:r>
              <w:rPr>
                <w:b/>
                <w:color w:val="FFFFFF"/>
                <w:sz w:val="16"/>
              </w:rPr>
              <w:t>Fix</w:t>
            </w:r>
          </w:p>
        </w:tc>
        <w:tc>
          <w:tcPr>
            <w:tcW w:type="dxa" w:w="1152"/>
            <w:shd w:val="clear" w:color="auto" w:fill="064A56"/>
          </w:tcPr>
          <w:p>
            <w:r/>
            <w:r>
              <w:rPr>
                <w:b/>
                <w:color w:val="FFFFFF"/>
                <w:sz w:val="16"/>
              </w:rPr>
              <w:t>Train rows</w:t>
            </w:r>
          </w:p>
        </w:tc>
        <w:tc>
          <w:tcPr>
            <w:tcW w:type="dxa" w:w="1152"/>
            <w:shd w:val="clear" w:color="auto" w:fill="064A56"/>
          </w:tcPr>
          <w:p>
            <w:r/>
            <w:r>
              <w:rPr>
                <w:b/>
                <w:color w:val="FFFFFF"/>
                <w:sz w:val="16"/>
              </w:rPr>
              <w:t>Valid rows</w:t>
            </w:r>
          </w:p>
        </w:tc>
      </w:tr>
      <w:tr>
        <w:tc>
          <w:tcPr>
            <w:tcW w:type="dxa" w:w="2736"/>
          </w:tcPr>
          <w:p>
            <w:r/>
            <w:r>
              <w:rPr>
                <w:b w:val="0"/>
                <w:sz w:val="16"/>
              </w:rPr>
              <w:t>R1 city/equipment spelling</w:t>
            </w:r>
          </w:p>
        </w:tc>
        <w:tc>
          <w:tcPr>
            <w:tcW w:type="dxa" w:w="4608"/>
          </w:tcPr>
          <w:p>
            <w:r/>
            <w:r>
              <w:rPr>
                <w:b w:val="0"/>
                <w:sz w:val="16"/>
              </w:rPr>
              <w:t>strip + title-case (defensive)</w:t>
            </w:r>
          </w:p>
        </w:tc>
        <w:tc>
          <w:tcPr>
            <w:tcW w:type="dxa" w:w="1152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152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2736"/>
          </w:tcPr>
          <w:p>
            <w:r/>
            <w:r>
              <w:rPr>
                <w:b w:val="0"/>
                <w:sz w:val="16"/>
              </w:rPr>
              <w:t>R2 negative weight</w:t>
            </w:r>
          </w:p>
        </w:tc>
        <w:tc>
          <w:tcPr>
            <w:tcW w:type="dxa" w:w="4608"/>
          </w:tcPr>
          <w:p>
            <w:r/>
            <w:r>
              <w:rPr>
                <w:b w:val="0"/>
                <w:sz w:val="16"/>
              </w:rPr>
              <w:t>absolute value (sign flip)</w:t>
            </w:r>
          </w:p>
        </w:tc>
        <w:tc>
          <w:tcPr>
            <w:tcW w:type="dxa" w:w="1152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292</w:t>
            </w:r>
          </w:p>
        </w:tc>
        <w:tc>
          <w:tcPr>
            <w:tcW w:type="dxa" w:w="1152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145</w:t>
            </w:r>
          </w:p>
        </w:tc>
      </w:tr>
      <w:tr>
        <w:tc>
          <w:tcPr>
            <w:tcW w:type="dxa" w:w="2736"/>
          </w:tcPr>
          <w:p>
            <w:r/>
            <w:r>
              <w:rPr>
                <w:b w:val="0"/>
                <w:sz w:val="16"/>
              </w:rPr>
              <w:t>R3 weight at cap/floor</w:t>
            </w:r>
          </w:p>
        </w:tc>
        <w:tc>
          <w:tcPr>
            <w:tcW w:type="dxa" w:w="4608"/>
          </w:tcPr>
          <w:p>
            <w:r/>
            <w:r>
              <w:rPr>
                <w:b w:val="0"/>
                <w:sz w:val="16"/>
              </w:rPr>
              <w:t>keep value, add flag column</w:t>
            </w:r>
          </w:p>
        </w:tc>
        <w:tc>
          <w:tcPr>
            <w:tcW w:type="dxa" w:w="1152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1,236</w:t>
            </w:r>
          </w:p>
        </w:tc>
        <w:tc>
          <w:tcPr>
            <w:tcW w:type="dxa" w:w="1152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308</w:t>
            </w:r>
          </w:p>
        </w:tc>
      </w:tr>
      <w:tr>
        <w:tc>
          <w:tcPr>
            <w:tcW w:type="dxa" w:w="2736"/>
          </w:tcPr>
          <w:p>
            <w:r/>
            <w:r>
              <w:rPr>
                <w:b w:val="0"/>
                <w:sz w:val="16"/>
              </w:rPr>
              <w:t>R4 missing weight</w:t>
            </w:r>
          </w:p>
        </w:tc>
        <w:tc>
          <w:tcPr>
            <w:tcW w:type="dxa" w:w="4608"/>
          </w:tcPr>
          <w:p>
            <w:r/>
            <w:r>
              <w:rPr>
                <w:b w:val="0"/>
                <w:sz w:val="16"/>
              </w:rPr>
              <w:t>impute lane x equipment median (&gt;=5 loads) else equipment median, fitted on training rows; flag</w:t>
            </w:r>
          </w:p>
        </w:tc>
        <w:tc>
          <w:tcPr>
            <w:tcW w:type="dxa" w:w="1152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300</w:t>
            </w:r>
          </w:p>
        </w:tc>
        <w:tc>
          <w:tcPr>
            <w:tcW w:type="dxa" w:w="1152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165</w:t>
            </w:r>
          </w:p>
        </w:tc>
      </w:tr>
      <w:tr>
        <w:tc>
          <w:tcPr>
            <w:tcW w:type="dxa" w:w="2736"/>
          </w:tcPr>
          <w:p>
            <w:r/>
            <w:r>
              <w:rPr>
                <w:b w:val="0"/>
                <w:sz w:val="16"/>
              </w:rPr>
              <w:t>R5 missing market_index</w:t>
            </w:r>
          </w:p>
        </w:tc>
        <w:tc>
          <w:tcPr>
            <w:tcW w:type="dxa" w:w="4608"/>
          </w:tcPr>
          <w:p>
            <w:r/>
            <w:r>
              <w:rPr>
                <w:b w:val="0"/>
                <w:sz w:val="16"/>
              </w:rPr>
              <w:t>same-date mean of the feature; flag</w:t>
            </w:r>
          </w:p>
        </w:tc>
        <w:tc>
          <w:tcPr>
            <w:tcW w:type="dxa" w:w="1152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374</w:t>
            </w:r>
          </w:p>
        </w:tc>
        <w:tc>
          <w:tcPr>
            <w:tcW w:type="dxa" w:w="1152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249</w:t>
            </w:r>
          </w:p>
        </w:tc>
      </w:tr>
      <w:tr>
        <w:tc>
          <w:tcPr>
            <w:tcW w:type="dxa" w:w="2736"/>
          </w:tcPr>
          <w:p>
            <w:r/>
            <w:r>
              <w:rPr>
                <w:b w:val="0"/>
                <w:sz w:val="16"/>
              </w:rPr>
              <w:t>R6 clipped coordinates (kept)</w:t>
            </w:r>
          </w:p>
        </w:tc>
        <w:tc>
          <w:tcPr>
            <w:tcW w:type="dxa" w:w="4608"/>
          </w:tcPr>
          <w:p>
            <w:r/>
            <w:r>
              <w:rPr>
                <w:b w:val="0"/>
                <w:sz w:val="16"/>
              </w:rPr>
              <w:t>keep; distance is authoritative</w:t>
            </w:r>
          </w:p>
        </w:tc>
        <w:tc>
          <w:tcPr>
            <w:tcW w:type="dxa" w:w="1152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2,052</w:t>
            </w:r>
          </w:p>
        </w:tc>
        <w:tc>
          <w:tcPr>
            <w:tcW w:type="dxa" w:w="1152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669</w:t>
            </w:r>
          </w:p>
        </w:tc>
      </w:tr>
      <w:tr>
        <w:tc>
          <w:tcPr>
            <w:tcW w:type="dxa" w:w="2736"/>
          </w:tcPr>
          <w:p>
            <w:r/>
            <w:r>
              <w:rPr>
                <w:b w:val="0"/>
                <w:sz w:val="16"/>
              </w:rPr>
              <w:t>R7 corrupted posted_rate</w:t>
            </w:r>
          </w:p>
        </w:tc>
        <w:tc>
          <w:tcPr>
            <w:tcW w:type="dxa" w:w="4608"/>
          </w:tcPr>
          <w:p>
            <w:r/>
            <w:r>
              <w:rPr>
                <w:b w:val="0"/>
                <w:sz w:val="16"/>
              </w:rPr>
              <w:t>drop from training (rate/expected outside 0.6-1.7)</w:t>
            </w:r>
          </w:p>
        </w:tc>
        <w:tc>
          <w:tcPr>
            <w:tcW w:type="dxa" w:w="1152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677</w:t>
            </w:r>
          </w:p>
        </w:tc>
        <w:tc>
          <w:tcPr>
            <w:tcW w:type="dxa" w:w="1152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0</w:t>
            </w:r>
          </w:p>
        </w:tc>
      </w:tr>
    </w:tbl>
    <w:p>
      <w:pPr>
        <w:spacing w:after="40"/>
      </w:pPr>
    </w:p>
    <w:p>
      <w:pPr>
        <w:pStyle w:val="ListBullet"/>
        <w:spacing w:after="20"/>
      </w:pPr>
      <w:r>
        <w:rPr>
          <w:b/>
        </w:rPr>
        <w:t xml:space="preserve">Corrupted rates. </w:t>
      </w:r>
      <w:r>
        <w:t>677 training rates (1.4%) are x2-x6 away from the expected price, spread evenly over equipment, month, weekday, distance and city: random multiplicative errors. They are flagged by an out-of-fold robust (L1) GBM that uses no lane identity; a lane-median rule agreed on 673 rows but mis-flagged thin lanes (1-2 loads) where the bad row itself moves the median. Sanity check: Huber loss on uncleaned labels matches L2 on cleaned labels, plain L2 on uncleaned labels is much worse.</w:t>
      </w:r>
    </w:p>
    <w:p>
      <w:pPr>
        <w:pStyle w:val="ListBullet"/>
        <w:spacing w:after="20"/>
      </w:pPr>
      <w:r>
        <w:rPr>
          <w:b/>
        </w:rPr>
        <w:t xml:space="preserve">Coordinates </w:t>
      </w:r>
      <w:r>
        <w:t>are distorted and partly clipped (e.g. Boston/Providence lon = -69.5); distance is consistent (~1.18x great-circle, +/-5% within lane), so distance is authoritative.</w:t>
      </w:r>
    </w:p>
    <w:p>
      <w:pPr>
        <w:pStyle w:val="ListBullet"/>
        <w:spacing w:after="20"/>
      </w:pPr>
      <w:r>
        <w:rPr>
          <w:b/>
        </w:rPr>
        <w:t xml:space="preserve">No duplicates, </w:t>
      </w:r>
      <w:r>
        <w:t>unparseable dates or spelling variants were found (checked defensively).</w:t>
      </w:r>
    </w:p>
    <w:p>
      <w:pPr>
        <w:pStyle w:val="Heading1"/>
      </w:pPr>
      <w:r>
        <w:t>3. Validation approach</w:t>
      </w:r>
    </w:p>
    <w:p>
      <w:pPr>
        <w:pStyle w:val="ListBullet"/>
        <w:spacing w:after="20"/>
      </w:pPr>
      <w:r>
        <w:rPr>
          <w:b/>
        </w:rPr>
        <w:t xml:space="preserve">Time folds (primary). </w:t>
      </w:r>
      <w:r>
        <w:t>T1 Jan-Apr &gt; May-Jun, T2 Jan-Jun &gt; Jul-Aug, T3 Jan-Aug &gt; Sep-Oct: a 2-month horizon after the training cut-off, mirroring Jan-Oct &gt; Nov-Dec. The model is chosen on the worst fold, not only the mean.</w:t>
      </w:r>
    </w:p>
    <w:p>
      <w:pPr>
        <w:pStyle w:val="ListBullet"/>
        <w:spacing w:after="20"/>
      </w:pPr>
      <w:r>
        <w:rPr>
          <w:b/>
        </w:rPr>
        <w:t xml:space="preserve">City holdout. </w:t>
      </w:r>
      <w:r>
        <w:t>64 cities in 8 random groups; each fold holds out every load touching a group city as pickup OR delivery. It measures the unseen-city risk (12% of validation).</w:t>
      </w:r>
    </w:p>
    <w:p>
      <w:pPr>
        <w:pStyle w:val="ListBullet"/>
        <w:spacing w:after="20"/>
      </w:pPr>
      <w:r>
        <w:rPr>
          <w:b/>
        </w:rPr>
        <w:t xml:space="preserve">Random 5-fold </w:t>
      </w:r>
      <w:r>
        <w:t>only as a contrast: train and test share dates, so it rewards memorising day-level prices; its MAE is 2.9x lower than the time folds for the first LightGBM and 1.4x lower for the final model.</w:t>
      </w:r>
    </w:p>
    <w:p>
      <w:pPr>
        <w:pStyle w:val="ListBullet"/>
        <w:spacing w:after="20"/>
      </w:pPr>
      <w:r>
        <w:rPr>
          <w:b/>
        </w:rPr>
        <w:t xml:space="preserve">Leakage guard. </w:t>
      </w:r>
      <w:r>
        <w:t>Weight medians, the corrupted-label filter, target encodings and their priors, the unseen-city blanking (training rows only), the stage-2 model and the tree are refitted in every fold on that fold's training rows. Test rows get encodings from the training period only.</w:t>
      </w:r>
    </w:p>
    <w:p>
      <w:pPr>
        <w:pStyle w:val="ListBullet"/>
        <w:spacing w:after="20"/>
      </w:pPr>
      <w:r>
        <w:rPr>
          <w:b/>
        </w:rPr>
        <w:t xml:space="preserve">Labels. </w:t>
      </w:r>
      <w:r>
        <w:t>Metrics are reported on clean labels and on raw labels (corrupted rows kept), since the scored labels likely contain the same ~1.4% corruption.</w:t>
      </w:r>
    </w:p>
    <w:p>
      <w:pPr>
        <w:pStyle w:val="Heading1"/>
      </w:pPr>
      <w:r>
        <w:t>4. Model</w:t>
      </w:r>
    </w:p>
    <w:p>
      <w:pPr>
        <w:pStyle w:val="ListBullet"/>
        <w:spacing w:after="20"/>
      </w:pPr>
      <w:r>
        <w:rPr>
          <w:b/>
        </w:rPr>
        <w:t xml:space="preserve">Target: </w:t>
      </w:r>
      <w:r>
        <w:t>log(rate per mile); predictions are exp(.) x distance (log vs rpm vs $ targets were compared; smearing changed nothing measurable).</w:t>
      </w:r>
    </w:p>
    <w:p>
      <w:pPr>
        <w:pStyle w:val="ListBullet"/>
        <w:spacing w:after="20"/>
      </w:pPr>
      <w:r>
        <w:rPr>
          <w:b/>
        </w:rPr>
        <w:t xml:space="preserve">Stage 1 - LightGBM: </w:t>
      </w:r>
      <w:r>
        <w:t>distance, great-circle distance, coordinates, equipment, weight (+ cap/floor/missing flags), per-load market-index deviation, quote_signal and the day's mean quote (regime), and out-of-fold smoothed target encodings of lane, pickup, delivery, 5-degree region and region pair. Unseen keys fall back to an equipment x distance-band prior; 12% of training rows get one city blanked so the model learns that case. Recency weights with a 60-day half-life.</w:t>
      </w:r>
    </w:p>
    <w:p>
      <w:pPr>
        <w:pStyle w:val="ListBullet"/>
        <w:spacing w:after="20"/>
      </w:pPr>
      <w:r>
        <w:rPr>
          <w:b/>
        </w:rPr>
        <w:t xml:space="preserve">Stage 2 - day effects: </w:t>
      </w:r>
      <w:r>
        <w:t>ridge on the tree's date-grouped out-of-fold residuals: weekday dummies + a linear ramp over the last 21 days of a quarter. Keeping date features out of the tree stops it from memorising day-level prices that do not carry over to new dates.</w:t>
      </w:r>
    </w:p>
    <w:p>
      <w:pPr>
        <w:pStyle w:val="ListBullet"/>
        <w:spacing w:after="20"/>
      </w:pPr>
      <w:r>
        <w:rPr>
          <w:b/>
        </w:rPr>
        <w:t xml:space="preserve">Tested and rejected: </w:t>
      </w:r>
      <w:r>
        <w:t>slow market-index level (-3..-5% bias two months out), holiday features (no gain; Thanksgiving/Christmas never seen), linear time trend (unstable: much worse on T2), level offsets from recent residuals (overshoot after the June peak), a ridge blend (weight tuned on T1-T2 = 0.60; failed on T3: $44.5 vs $26.8).</w:t>
      </w:r>
    </w:p>
    <w:p>
      <w:pPr>
        <w:pStyle w:val="Heading1"/>
      </w:pPr>
      <w:r>
        <w:t>5. Results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72"/>
        <w:gridCol w:w="1072"/>
        <w:gridCol w:w="1072"/>
        <w:gridCol w:w="1072"/>
        <w:gridCol w:w="1072"/>
        <w:gridCol w:w="1072"/>
        <w:gridCol w:w="1072"/>
        <w:gridCol w:w="1072"/>
        <w:gridCol w:w="1072"/>
      </w:tblGrid>
      <w:tr>
        <w:tc>
          <w:tcPr>
            <w:tcW w:type="dxa" w:w="3528"/>
            <w:shd w:val="clear" w:color="auto" w:fill="064A56"/>
          </w:tcPr>
          <w:p>
            <w:r/>
            <w:r>
              <w:rPr>
                <w:b/>
                <w:color w:val="FFFFFF"/>
                <w:sz w:val="16"/>
              </w:rPr>
              <w:t>Model</w:t>
            </w:r>
          </w:p>
        </w:tc>
        <w:tc>
          <w:tcPr>
            <w:tcW w:type="dxa" w:w="720"/>
            <w:shd w:val="clear" w:color="auto" w:fill="064A56"/>
          </w:tcPr>
          <w:p>
            <w:r/>
            <w:r>
              <w:rPr>
                <w:b/>
                <w:color w:val="FFFFFF"/>
                <w:sz w:val="16"/>
              </w:rPr>
              <w:t>T1</w:t>
            </w:r>
          </w:p>
        </w:tc>
        <w:tc>
          <w:tcPr>
            <w:tcW w:type="dxa" w:w="720"/>
            <w:shd w:val="clear" w:color="auto" w:fill="064A56"/>
          </w:tcPr>
          <w:p>
            <w:r/>
            <w:r>
              <w:rPr>
                <w:b/>
                <w:color w:val="FFFFFF"/>
                <w:sz w:val="16"/>
              </w:rPr>
              <w:t>T2</w:t>
            </w:r>
          </w:p>
        </w:tc>
        <w:tc>
          <w:tcPr>
            <w:tcW w:type="dxa" w:w="720"/>
            <w:shd w:val="clear" w:color="auto" w:fill="064A56"/>
          </w:tcPr>
          <w:p>
            <w:r/>
            <w:r>
              <w:rPr>
                <w:b/>
                <w:color w:val="FFFFFF"/>
                <w:sz w:val="16"/>
              </w:rPr>
              <w:t>T3</w:t>
            </w:r>
          </w:p>
        </w:tc>
        <w:tc>
          <w:tcPr>
            <w:tcW w:type="dxa" w:w="749"/>
            <w:shd w:val="clear" w:color="auto" w:fill="064A56"/>
          </w:tcPr>
          <w:p>
            <w:r/>
            <w:r>
              <w:rPr>
                <w:b/>
                <w:color w:val="FFFFFF"/>
                <w:sz w:val="16"/>
              </w:rPr>
              <w:t>Mean</w:t>
            </w:r>
          </w:p>
        </w:tc>
        <w:tc>
          <w:tcPr>
            <w:tcW w:type="dxa" w:w="749"/>
            <w:shd w:val="clear" w:color="auto" w:fill="064A56"/>
          </w:tcPr>
          <w:p>
            <w:r/>
            <w:r>
              <w:rPr>
                <w:b/>
                <w:color w:val="FFFFFF"/>
                <w:sz w:val="16"/>
              </w:rPr>
              <w:t>Worst</w:t>
            </w:r>
          </w:p>
        </w:tc>
        <w:tc>
          <w:tcPr>
            <w:tcW w:type="dxa" w:w="792"/>
            <w:shd w:val="clear" w:color="auto" w:fill="064A56"/>
          </w:tcPr>
          <w:p>
            <w:r/>
            <w:r>
              <w:rPr>
                <w:b/>
                <w:color w:val="FFFFFF"/>
                <w:sz w:val="16"/>
              </w:rPr>
              <w:t>MAPE %</w:t>
            </w:r>
          </w:p>
        </w:tc>
        <w:tc>
          <w:tcPr>
            <w:tcW w:type="dxa" w:w="720"/>
            <w:shd w:val="clear" w:color="auto" w:fill="064A56"/>
          </w:tcPr>
          <w:p>
            <w:r/>
            <w:r>
              <w:rPr>
                <w:b/>
                <w:color w:val="FFFFFF"/>
                <w:sz w:val="16"/>
              </w:rPr>
              <w:t>City</w:t>
            </w:r>
          </w:p>
        </w:tc>
        <w:tc>
          <w:tcPr>
            <w:tcW w:type="dxa" w:w="806"/>
            <w:shd w:val="clear" w:color="auto" w:fill="064A56"/>
          </w:tcPr>
          <w:p>
            <w:r/>
            <w:r>
              <w:rPr>
                <w:b/>
                <w:color w:val="FFFFFF"/>
                <w:sz w:val="16"/>
              </w:rPr>
              <w:t>Random</w:t>
            </w:r>
          </w:p>
        </w:tc>
      </w:tr>
      <w:tr>
        <w:tc>
          <w:tcPr>
            <w:tcW w:type="dxa" w:w="3528"/>
          </w:tcPr>
          <w:p>
            <w:r/>
            <w:r>
              <w:rPr>
                <w:b w:val="0"/>
                <w:sz w:val="16"/>
              </w:rPr>
              <w:t>Baseline: global median $/mile x distance</w:t>
            </w:r>
          </w:p>
        </w:tc>
        <w:tc>
          <w:tcPr>
            <w:tcW w:type="dxa" w:w="72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189.8</w:t>
            </w:r>
          </w:p>
        </w:tc>
        <w:tc>
          <w:tcPr>
            <w:tcW w:type="dxa" w:w="72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199.2</w:t>
            </w:r>
          </w:p>
        </w:tc>
        <w:tc>
          <w:tcPr>
            <w:tcW w:type="dxa" w:w="72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203.7</w:t>
            </w:r>
          </w:p>
        </w:tc>
        <w:tc>
          <w:tcPr>
            <w:tcW w:type="dxa" w:w="749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197.6</w:t>
            </w:r>
          </w:p>
        </w:tc>
        <w:tc>
          <w:tcPr>
            <w:tcW w:type="dxa" w:w="749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203.7</w:t>
            </w:r>
          </w:p>
        </w:tc>
        <w:tc>
          <w:tcPr>
            <w:tcW w:type="dxa" w:w="792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9.37</w:t>
            </w:r>
          </w:p>
        </w:tc>
        <w:tc>
          <w:tcPr>
            <w:tcW w:type="dxa" w:w="72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213.0</w:t>
            </w:r>
          </w:p>
        </w:tc>
        <w:tc>
          <w:tcPr>
            <w:tcW w:type="dxa" w:w="806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213.5</w:t>
            </w:r>
          </w:p>
        </w:tc>
      </w:tr>
      <w:tr>
        <w:tc>
          <w:tcPr>
            <w:tcW w:type="dxa" w:w="3528"/>
          </w:tcPr>
          <w:p>
            <w:r/>
            <w:r>
              <w:rPr>
                <w:b w:val="0"/>
                <w:sz w:val="16"/>
              </w:rPr>
              <w:t>Baseline: lane median $/mile</w:t>
            </w:r>
          </w:p>
        </w:tc>
        <w:tc>
          <w:tcPr>
            <w:tcW w:type="dxa" w:w="72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148.8</w:t>
            </w:r>
          </w:p>
        </w:tc>
        <w:tc>
          <w:tcPr>
            <w:tcW w:type="dxa" w:w="72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83.8</w:t>
            </w:r>
          </w:p>
        </w:tc>
        <w:tc>
          <w:tcPr>
            <w:tcW w:type="dxa" w:w="72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76.2</w:t>
            </w:r>
          </w:p>
        </w:tc>
        <w:tc>
          <w:tcPr>
            <w:tcW w:type="dxa" w:w="749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102.9</w:t>
            </w:r>
          </w:p>
        </w:tc>
        <w:tc>
          <w:tcPr>
            <w:tcW w:type="dxa" w:w="749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148.8</w:t>
            </w:r>
          </w:p>
        </w:tc>
        <w:tc>
          <w:tcPr>
            <w:tcW w:type="dxa" w:w="792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4.25</w:t>
            </w:r>
          </w:p>
        </w:tc>
        <w:tc>
          <w:tcPr>
            <w:tcW w:type="dxa" w:w="72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94.8</w:t>
            </w:r>
          </w:p>
        </w:tc>
        <w:tc>
          <w:tcPr>
            <w:tcW w:type="dxa" w:w="806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90.9</w:t>
            </w:r>
          </w:p>
        </w:tc>
      </w:tr>
      <w:tr>
        <w:tc>
          <w:tcPr>
            <w:tcW w:type="dxa" w:w="3528"/>
          </w:tcPr>
          <w:p>
            <w:r/>
            <w:r>
              <w:rPr>
                <w:b w:val="0"/>
                <w:sz w:val="16"/>
              </w:rPr>
              <w:t>Baseline: ridge on log $/mile</w:t>
            </w:r>
          </w:p>
        </w:tc>
        <w:tc>
          <w:tcPr>
            <w:tcW w:type="dxa" w:w="72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52.5</w:t>
            </w:r>
          </w:p>
        </w:tc>
        <w:tc>
          <w:tcPr>
            <w:tcW w:type="dxa" w:w="72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52.3</w:t>
            </w:r>
          </w:p>
        </w:tc>
        <w:tc>
          <w:tcPr>
            <w:tcW w:type="dxa" w:w="72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110.7</w:t>
            </w:r>
          </w:p>
        </w:tc>
        <w:tc>
          <w:tcPr>
            <w:tcW w:type="dxa" w:w="749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71.8</w:t>
            </w:r>
          </w:p>
        </w:tc>
        <w:tc>
          <w:tcPr>
            <w:tcW w:type="dxa" w:w="749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110.7</w:t>
            </w:r>
          </w:p>
        </w:tc>
        <w:tc>
          <w:tcPr>
            <w:tcW w:type="dxa" w:w="792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3.01</w:t>
            </w:r>
          </w:p>
        </w:tc>
        <w:tc>
          <w:tcPr>
            <w:tcW w:type="dxa" w:w="72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59.6</w:t>
            </w:r>
          </w:p>
        </w:tc>
        <w:tc>
          <w:tcPr>
            <w:tcW w:type="dxa" w:w="806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54.8</w:t>
            </w:r>
          </w:p>
        </w:tc>
      </w:tr>
      <w:tr>
        <w:tc>
          <w:tcPr>
            <w:tcW w:type="dxa" w:w="3528"/>
          </w:tcPr>
          <w:p>
            <w:r/>
            <w:r>
              <w:rPr>
                <w:b w:val="0"/>
                <w:sz w:val="16"/>
              </w:rPr>
              <w:t>LightGBM, all features (first model)</w:t>
            </w:r>
          </w:p>
        </w:tc>
        <w:tc>
          <w:tcPr>
            <w:tcW w:type="dxa" w:w="72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59.2</w:t>
            </w:r>
          </w:p>
        </w:tc>
        <w:tc>
          <w:tcPr>
            <w:tcW w:type="dxa" w:w="72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70.0</w:t>
            </w:r>
          </w:p>
        </w:tc>
        <w:tc>
          <w:tcPr>
            <w:tcW w:type="dxa" w:w="72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81.2</w:t>
            </w:r>
          </w:p>
        </w:tc>
        <w:tc>
          <w:tcPr>
            <w:tcW w:type="dxa" w:w="749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70.1</w:t>
            </w:r>
          </w:p>
        </w:tc>
        <w:tc>
          <w:tcPr>
            <w:tcW w:type="dxa" w:w="749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81.2</w:t>
            </w:r>
          </w:p>
        </w:tc>
        <w:tc>
          <w:tcPr>
            <w:tcW w:type="dxa" w:w="792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3.11</w:t>
            </w:r>
          </w:p>
        </w:tc>
        <w:tc>
          <w:tcPr>
            <w:tcW w:type="dxa" w:w="72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26.6</w:t>
            </w:r>
          </w:p>
        </w:tc>
        <w:tc>
          <w:tcPr>
            <w:tcW w:type="dxa" w:w="806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23.8</w:t>
            </w:r>
          </w:p>
        </w:tc>
      </w:tr>
      <w:tr>
        <w:tc>
          <w:tcPr>
            <w:tcW w:type="dxa" w:w="3528"/>
          </w:tcPr>
          <w:p>
            <w:r/>
            <w:r>
              <w:rPr>
                <w:b w:val="0"/>
                <w:sz w:val="16"/>
              </w:rPr>
              <w:t>Two-stage: tree + weekday/quarter-end model</w:t>
            </w:r>
          </w:p>
        </w:tc>
        <w:tc>
          <w:tcPr>
            <w:tcW w:type="dxa" w:w="72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55.9</w:t>
            </w:r>
          </w:p>
        </w:tc>
        <w:tc>
          <w:tcPr>
            <w:tcW w:type="dxa" w:w="72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80.2</w:t>
            </w:r>
          </w:p>
        </w:tc>
        <w:tc>
          <w:tcPr>
            <w:tcW w:type="dxa" w:w="72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30.9</w:t>
            </w:r>
          </w:p>
        </w:tc>
        <w:tc>
          <w:tcPr>
            <w:tcW w:type="dxa" w:w="749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55.7</w:t>
            </w:r>
          </w:p>
        </w:tc>
        <w:tc>
          <w:tcPr>
            <w:tcW w:type="dxa" w:w="749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80.2</w:t>
            </w:r>
          </w:p>
        </w:tc>
        <w:tc>
          <w:tcPr>
            <w:tcW w:type="dxa" w:w="792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2.38</w:t>
            </w:r>
          </w:p>
        </w:tc>
        <w:tc>
          <w:tcPr>
            <w:tcW w:type="dxa" w:w="72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42.9</w:t>
            </w:r>
          </w:p>
        </w:tc>
        <w:tc>
          <w:tcPr>
            <w:tcW w:type="dxa" w:w="806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41.0</w:t>
            </w:r>
          </w:p>
        </w:tc>
      </w:tr>
      <w:tr>
        <w:tc>
          <w:tcPr>
            <w:tcW w:type="dxa" w:w="3528"/>
          </w:tcPr>
          <w:p>
            <w:r/>
            <w:r>
              <w:rPr>
                <w:b w:val="0"/>
                <w:sz w:val="16"/>
              </w:rPr>
              <w:t>+ coarse quote regime + recency (smooth alt.)</w:t>
            </w:r>
          </w:p>
        </w:tc>
        <w:tc>
          <w:tcPr>
            <w:tcW w:type="dxa" w:w="72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42.5</w:t>
            </w:r>
          </w:p>
        </w:tc>
        <w:tc>
          <w:tcPr>
            <w:tcW w:type="dxa" w:w="72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71.4</w:t>
            </w:r>
          </w:p>
        </w:tc>
        <w:tc>
          <w:tcPr>
            <w:tcW w:type="dxa" w:w="72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32.4</w:t>
            </w:r>
          </w:p>
        </w:tc>
        <w:tc>
          <w:tcPr>
            <w:tcW w:type="dxa" w:w="749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48.8</w:t>
            </w:r>
          </w:p>
        </w:tc>
        <w:tc>
          <w:tcPr>
            <w:tcW w:type="dxa" w:w="749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71.4</w:t>
            </w:r>
          </w:p>
        </w:tc>
        <w:tc>
          <w:tcPr>
            <w:tcW w:type="dxa" w:w="792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2.12</w:t>
            </w:r>
          </w:p>
        </w:tc>
        <w:tc>
          <w:tcPr>
            <w:tcW w:type="dxa" w:w="72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38.4</w:t>
            </w:r>
          </w:p>
        </w:tc>
        <w:tc>
          <w:tcPr>
            <w:tcW w:type="dxa" w:w="806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36.7</w:t>
            </w:r>
          </w:p>
        </w:tc>
      </w:tr>
      <w:tr>
        <w:tc>
          <w:tcPr>
            <w:tcW w:type="dxa" w:w="3528"/>
          </w:tcPr>
          <w:p>
            <w:r/>
            <w:r>
              <w:rPr>
                <w:b w:val="0"/>
                <w:sz w:val="16"/>
              </w:rPr>
              <w:t>+ trailing quote x regime (smooth alt.)</w:t>
            </w:r>
          </w:p>
        </w:tc>
        <w:tc>
          <w:tcPr>
            <w:tcW w:type="dxa" w:w="72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32.8</w:t>
            </w:r>
          </w:p>
        </w:tc>
        <w:tc>
          <w:tcPr>
            <w:tcW w:type="dxa" w:w="72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68.2</w:t>
            </w:r>
          </w:p>
        </w:tc>
        <w:tc>
          <w:tcPr>
            <w:tcW w:type="dxa" w:w="72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30.2</w:t>
            </w:r>
          </w:p>
        </w:tc>
        <w:tc>
          <w:tcPr>
            <w:tcW w:type="dxa" w:w="749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43.7</w:t>
            </w:r>
          </w:p>
        </w:tc>
        <w:tc>
          <w:tcPr>
            <w:tcW w:type="dxa" w:w="749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68.2</w:t>
            </w:r>
          </w:p>
        </w:tc>
        <w:tc>
          <w:tcPr>
            <w:tcW w:type="dxa" w:w="792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1.95</w:t>
            </w:r>
          </w:p>
        </w:tc>
        <w:tc>
          <w:tcPr>
            <w:tcW w:type="dxa" w:w="720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28.4</w:t>
            </w:r>
          </w:p>
        </w:tc>
        <w:tc>
          <w:tcPr>
            <w:tcW w:type="dxa" w:w="806"/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26.3</w:t>
            </w:r>
          </w:p>
        </w:tc>
      </w:tr>
      <w:tr>
        <w:tc>
          <w:tcPr>
            <w:tcW w:type="dxa" w:w="3528"/>
            <w:shd w:val="clear" w:color="auto" w:fill="E6F0F1"/>
          </w:tcPr>
          <w:p>
            <w:r/>
            <w:r>
              <w:rPr>
                <w:b/>
                <w:sz w:val="16"/>
              </w:rPr>
              <w:t>FINAL (A34): + daily quote regime + recency</w:t>
            </w:r>
          </w:p>
        </w:tc>
        <w:tc>
          <w:tcPr>
            <w:tcW w:type="dxa" w:w="720"/>
            <w:shd w:val="clear" w:color="auto" w:fill="E6F0F1"/>
          </w:tcPr>
          <w:p>
            <w:pPr>
              <w:jc w:val="right"/>
            </w:pPr>
            <w:r/>
            <w:r>
              <w:rPr>
                <w:b/>
                <w:sz w:val="16"/>
              </w:rPr>
              <w:t>30.2</w:t>
            </w:r>
          </w:p>
        </w:tc>
        <w:tc>
          <w:tcPr>
            <w:tcW w:type="dxa" w:w="720"/>
            <w:shd w:val="clear" w:color="auto" w:fill="E6F0F1"/>
          </w:tcPr>
          <w:p>
            <w:pPr>
              <w:jc w:val="right"/>
            </w:pPr>
            <w:r/>
            <w:r>
              <w:rPr>
                <w:b/>
                <w:sz w:val="16"/>
              </w:rPr>
              <w:t>64.1</w:t>
            </w:r>
          </w:p>
        </w:tc>
        <w:tc>
          <w:tcPr>
            <w:tcW w:type="dxa" w:w="720"/>
            <w:shd w:val="clear" w:color="auto" w:fill="E6F0F1"/>
          </w:tcPr>
          <w:p>
            <w:pPr>
              <w:jc w:val="right"/>
            </w:pPr>
            <w:r/>
            <w:r>
              <w:rPr>
                <w:b/>
                <w:sz w:val="16"/>
              </w:rPr>
              <w:t>26.8</w:t>
            </w:r>
          </w:p>
        </w:tc>
        <w:tc>
          <w:tcPr>
            <w:tcW w:type="dxa" w:w="749"/>
            <w:shd w:val="clear" w:color="auto" w:fill="E6F0F1"/>
          </w:tcPr>
          <w:p>
            <w:pPr>
              <w:jc w:val="right"/>
            </w:pPr>
            <w:r/>
            <w:r>
              <w:rPr>
                <w:b/>
                <w:sz w:val="16"/>
              </w:rPr>
              <w:t>40.4</w:t>
            </w:r>
          </w:p>
        </w:tc>
        <w:tc>
          <w:tcPr>
            <w:tcW w:type="dxa" w:w="749"/>
            <w:shd w:val="clear" w:color="auto" w:fill="E6F0F1"/>
          </w:tcPr>
          <w:p>
            <w:pPr>
              <w:jc w:val="right"/>
            </w:pPr>
            <w:r/>
            <w:r>
              <w:rPr>
                <w:b/>
                <w:sz w:val="16"/>
              </w:rPr>
              <w:t>64.1</w:t>
            </w:r>
          </w:p>
        </w:tc>
        <w:tc>
          <w:tcPr>
            <w:tcW w:type="dxa" w:w="792"/>
            <w:shd w:val="clear" w:color="auto" w:fill="E6F0F1"/>
          </w:tcPr>
          <w:p>
            <w:pPr>
              <w:jc w:val="right"/>
            </w:pPr>
            <w:r/>
            <w:r>
              <w:rPr>
                <w:b/>
                <w:sz w:val="16"/>
              </w:rPr>
              <w:t>1.85</w:t>
            </w:r>
          </w:p>
        </w:tc>
        <w:tc>
          <w:tcPr>
            <w:tcW w:type="dxa" w:w="720"/>
            <w:shd w:val="clear" w:color="auto" w:fill="E6F0F1"/>
          </w:tcPr>
          <w:p>
            <w:pPr>
              <w:jc w:val="right"/>
            </w:pPr>
            <w:r/>
            <w:r>
              <w:rPr>
                <w:b/>
                <w:sz w:val="16"/>
              </w:rPr>
              <w:t>31.3</w:t>
            </w:r>
          </w:p>
        </w:tc>
        <w:tc>
          <w:tcPr>
            <w:tcW w:type="dxa" w:w="806"/>
            <w:shd w:val="clear" w:color="auto" w:fill="E6F0F1"/>
          </w:tcPr>
          <w:p>
            <w:pPr>
              <w:jc w:val="right"/>
            </w:pPr>
            <w:r/>
            <w:r>
              <w:rPr>
                <w:b/>
                <w:sz w:val="16"/>
              </w:rPr>
              <w:t>28.6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i/>
          <w:sz w:val="17"/>
        </w:rPr>
        <w:t>MAE in $ on clean labels. T1-T3 = time folds; City = city-holdout mean; Random = random 5-fold mean.</w:t>
      </w:r>
    </w:p>
    <w:p>
      <w:pPr>
        <w:pStyle w:val="ListBullet"/>
        <w:spacing w:after="20"/>
      </w:pPr>
      <w:r>
        <w:rPr>
          <w:b/>
        </w:rPr>
        <w:t xml:space="preserve">Versus baselines: </w:t>
      </w:r>
      <w:r>
        <w:t>mean time-fold MAE is 44% below ridge and 61% below the lane median, and lower than the first LightGBM on every fold. Ridge remains better on T2 ($52.3 vs $64.1) but fails on T3 ($110.7, -5% bias when the market index is low).</w:t>
      </w:r>
    </w:p>
    <w:p>
      <w:pPr>
        <w:pStyle w:val="ListBullet"/>
        <w:spacing w:after="20"/>
      </w:pPr>
      <w:r>
        <w:rPr>
          <w:b/>
        </w:rPr>
        <w:t xml:space="preserve">Raw labels: </w:t>
      </w:r>
      <w:r>
        <w:t>time-fold MAE $94.3 and RMSE $627 with corrupted rows kept (clean: $40.4 / $63). RMSE on raw labels is dominated by the ~1.4% corrupted rows for every model.</w:t>
      </w:r>
    </w:p>
    <w:p>
      <w:pPr>
        <w:pStyle w:val="ListBullet"/>
        <w:spacing w:after="20"/>
      </w:pPr>
      <w:r>
        <w:rPr>
          <w:b/>
        </w:rPr>
        <w:t xml:space="preserve">Unseen cities: </w:t>
      </w:r>
      <w:r>
        <w:t>city-holdout MAE $31.3 vs $28.6 on the random split: the penalty for an unknown city is small (~$3).</w:t>
      </w:r>
    </w:p>
    <w:p>
      <w:pPr>
        <w:pStyle w:val="ListBullet"/>
        <w:spacing w:after="20"/>
      </w:pPr>
      <w:r>
        <w:rPr>
          <w:b/>
        </w:rPr>
        <w:t xml:space="preserve">Where it errs: </w:t>
      </w:r>
      <w:r>
        <w:t>the weakest fold is T2 (Aug under-predicted ~3%: August's quote regime was neutral while January, the only similar training month, was positive). MAPE is highest on short loads.</w:t>
      </w:r>
    </w:p>
    <w:p>
      <w:pPr>
        <w:pStyle w:val="Heading1"/>
      </w:pPr>
      <w:r>
        <w:t>6. December chart</w:t>
      </w:r>
    </w:p>
    <w:p>
      <w:pPr>
        <w:spacing w:after="80"/>
      </w:pPr>
      <w:r>
        <w:rPr>
          <w:i w:val="0"/>
        </w:rPr>
        <w:t>The December file has no coordinates, market_index or quote_signal. Coordinates are looked up per city (identical for every load of a city); market_index and the daily quote regime use the real daily means of validation.csv (input features, not targets; a forecast from October missed the index by 0.02-0.07); quote_signal is the median of comparable training loads (Dry Van, 300-420 mi: 2.108). December 2025 lies outside the training range, so the model contains no absolute-time feature a tree would have to extrapolate.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720" cy="18762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ndidate_decemb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76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sz w:val="17"/>
        </w:rPr>
        <w:t>Figure 2. candidate_december.png produced by score.py.</w:t>
      </w:r>
    </w:p>
    <w:p>
      <w:pPr>
        <w:pStyle w:val="ListBullet"/>
        <w:spacing w:after="20"/>
      </w:pPr>
      <w:r>
        <w:rPr>
          <w:b/>
        </w:rPr>
        <w:t xml:space="preserve">Range </w:t>
      </w:r>
      <w:r>
        <w:t>$786-$819 (mean $808; recent Aug-Oct Dry Van loads on this lane scaled to 360 mi average ~$808).</w:t>
      </w:r>
    </w:p>
    <w:p>
      <w:pPr>
        <w:pStyle w:val="ListBullet"/>
        <w:spacing w:after="20"/>
      </w:pPr>
      <w:r>
        <w:rPr>
          <w:b/>
        </w:rPr>
        <w:t xml:space="preserve">Stage-2 day effects </w:t>
      </w:r>
      <w:r>
        <w:t>are small in the final model (Thursday +0.6% vs Monday, quarter-end ramp +0.2% by 31 Dec): the daily quote mean also carries day-level information, so the tree absorbs much of that movement.</w:t>
      </w:r>
    </w:p>
    <w:p>
      <w:pPr>
        <w:pStyle w:val="ListBullet"/>
        <w:spacing w:after="20"/>
      </w:pPr>
      <w:r>
        <w:rPr>
          <w:b/>
        </w:rPr>
        <w:t xml:space="preserve">Day-to-day jitter: </w:t>
      </w:r>
      <w:r>
        <w:t>the load-level part moves between $788 and $816 because the daily mean quote (2.009-2.089) sits on the regime boundary, where the tree switches between the positive (Jan-like) and neutral (Aug-like) regime. Smoothed regime features (coarse bins, trailing 7/14-day means, quote x regime interaction) reduced or removed the jitter but cost 8-21% mean MAE on the time folds (a fully smooth weekday + quarter-end curve cost 21%); since validation accuracy is what is scored, the more accurate model was kept, and the same model produced both files.</w:t>
      </w:r>
    </w:p>
    <w:p>
      <w:pPr>
        <w:pStyle w:val="Heading1"/>
      </w:pPr>
      <w:r>
        <w:t>7. Limitations and next steps</w:t>
      </w:r>
    </w:p>
    <w:p>
      <w:pPr>
        <w:pStyle w:val="ListBullet"/>
        <w:spacing w:after="20"/>
      </w:pPr>
      <w:r>
        <w:rPr>
          <w:b/>
        </w:rPr>
        <w:t xml:space="preserve">No Christmas/year-end period in training: </w:t>
      </w:r>
      <w:r>
        <w:t>Thanksgiving and Christmas are predicted like ordinary days (e.g. 25 Dec as a Thursday).</w:t>
      </w:r>
    </w:p>
    <w:p>
      <w:pPr>
        <w:pStyle w:val="ListBullet"/>
        <w:spacing w:after="20"/>
      </w:pPr>
      <w:r>
        <w:rPr>
          <w:b/>
        </w:rPr>
        <w:t xml:space="preserve">Quarter-end effect </w:t>
      </w:r>
      <w:r>
        <w:t>is learned from only three quarter-ends (Mar, Jun, Sep); the year-end may differ.</w:t>
      </w:r>
    </w:p>
    <w:p>
      <w:pPr>
        <w:pStyle w:val="ListBullet"/>
        <w:spacing w:after="20"/>
      </w:pPr>
      <w:r>
        <w:rPr>
          <w:b/>
        </w:rPr>
        <w:t xml:space="preserve">Quote regime ambiguity: </w:t>
      </w:r>
      <w:r>
        <w:t>Nov-Dec sit at the regime boundary (~2.05), where training has only Jan (positive) and Aug (neutral) as examples; this is the largest source of risk and of the December jitter.</w:t>
      </w:r>
    </w:p>
    <w:p>
      <w:pPr>
        <w:pStyle w:val="ListBullet"/>
        <w:spacing w:after="20"/>
      </w:pPr>
      <w:r>
        <w:rPr>
          <w:b/>
        </w:rPr>
        <w:t xml:space="preserve">Price-level drift </w:t>
      </w:r>
      <w:r>
        <w:t>is only partly predictable; level errors of 1-3% per month remain the main error source on the time folds.</w:t>
      </w:r>
    </w:p>
    <w:p>
      <w:pPr>
        <w:pStyle w:val="ListBullet"/>
        <w:spacing w:after="20"/>
      </w:pPr>
      <w:r>
        <w:rPr>
          <w:b/>
        </w:rPr>
        <w:t xml:space="preserve">Next steps: </w:t>
      </w:r>
      <w:r>
        <w:t>a longer history (a previous December), an explicit regime model (e.g. hidden-Markov on the daily quote), quantile outputs for pricing ranges, and monitoring of the regime indicator.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64A56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64A56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64A56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Freight Load Rate Prediction</dc:title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