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39" w:line="360" w:lineRule="auto"/>
        <w:ind w:right="855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0.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Actividades de Contextualización e Identificación de Conocimientos Necesarios para el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Karol Juliana Velasco Rincón y Cristian Fabian Tunaroza Rodriguez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Centro de Biotecnología Agropecuario, SENA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Modelado de los Artefactos del Software - Análisis y Desarrollo de Software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Ing. Jose Edwin Gonzales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30 de julio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9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1c4"/>
          <w:u w:val="none"/>
          <w:shd w:fill="auto" w:val="clear"/>
          <w:vertAlign w:val="baseline"/>
          <w:rtl w:val="0"/>
        </w:rPr>
        <w:t xml:space="preserve">Desarrollo Metodológico (Estudio del Escenario de Negocio)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82" w:lineRule="auto"/>
        <w:ind w:left="262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e5395"/>
          <w:rtl w:val="0"/>
        </w:rPr>
        <w:t xml:space="preserve">Momento 1: Análisis del Informe de Requisitos Básicos (Caso de Estudio: "LogiTrans")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134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La empresa de transporte nacional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LogiTrans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necesita un sistema automatizado. El informe de análisis de requerimientos destaca tres necesidades críticas: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2"/>
        </w:tabs>
        <w:spacing w:after="0" w:before="0" w:line="240" w:lineRule="auto"/>
        <w:ind w:left="982" w:right="1339" w:hanging="360"/>
        <w:jc w:val="both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Módulo de Operaciones Financieras: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Debe registrar facturas y pagos. El dinero debe ser exacto; no se permiten descuadres ni pérdida de registros bajo ninguna circunstancia (Transacciones ACID estrictas).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2"/>
        </w:tabs>
        <w:spacing w:after="0" w:before="0" w:line="240" w:lineRule="auto"/>
        <w:ind w:left="982" w:right="1337" w:hanging="360"/>
        <w:jc w:val="both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Módulo de Rastreo Vehicular en Tiempo Real: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Los camiones envían coordenadas GPS geolocalizadas cada 5 segundos. Es un volumen masivo de datos crudos no estructurados que varían constantemente de formato.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2"/>
        </w:tabs>
        <w:spacing w:after="0" w:before="0" w:line="240" w:lineRule="auto"/>
        <w:ind w:left="982" w:right="1337" w:hanging="360"/>
        <w:jc w:val="both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Presupuesto Inicial: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La empresa quiere lanzar una prueba piloto muy rápido en dos meses, invirtiendo lo mínimo posible en servidores físicos durante la fase inicial de validación.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0" w:lineRule="auto"/>
        <w:ind w:left="262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e5395"/>
          <w:rtl w:val="0"/>
        </w:rPr>
        <w:t xml:space="preserve">Momento 2: El Tablero de Decisiones (Taller de Debate Técnico)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 grupos de trabajo, los aprendices debatirán y llenarán la siguiente matriz técnica para determinar la combinación óptima de componentes para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LogiTrans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justificando su elección frente al grupo: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5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5.0" w:type="dxa"/>
        <w:jc w:val="left"/>
        <w:tblInd w:w="177.00000000000006" w:type="dxa"/>
        <w:tblBorders>
          <w:top w:color="c4c6c5" w:space="0" w:sz="6" w:val="single"/>
          <w:left w:color="c4c6c5" w:space="0" w:sz="6" w:val="single"/>
          <w:bottom w:color="c4c6c5" w:space="0" w:sz="6" w:val="single"/>
          <w:right w:color="c4c6c5" w:space="0" w:sz="6" w:val="single"/>
          <w:insideH w:color="c4c6c5" w:space="0" w:sz="6" w:val="single"/>
          <w:insideV w:color="c4c6c5" w:space="0" w:sz="6" w:val="single"/>
        </w:tblBorders>
        <w:tblLayout w:type="fixed"/>
        <w:tblLook w:val="0000"/>
      </w:tblPr>
      <w:tblGrid>
        <w:gridCol w:w="2164.9999999999995"/>
        <w:gridCol w:w="2655"/>
        <w:gridCol w:w="1590"/>
        <w:gridCol w:w="3195"/>
        <w:tblGridChange w:id="0">
          <w:tblGrid>
            <w:gridCol w:w="2164.9999999999995"/>
            <w:gridCol w:w="2655"/>
            <w:gridCol w:w="1590"/>
            <w:gridCol w:w="3195"/>
          </w:tblGrid>
        </w:tblGridChange>
      </w:tblGrid>
      <w:tr>
        <w:trPr>
          <w:cantSplit w:val="0"/>
          <w:trHeight w:val="797" w:hRule="atLeast"/>
          <w:tblHeader w:val="0"/>
        </w:trPr>
        <w:tc>
          <w:tcPr>
            <w:tcBorders>
              <w:bottom w:color="c4c6c5" w:space="0" w:sz="6" w:val="single"/>
              <w:right w:color="c4c6c5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84" w:right="73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u w:val="none"/>
                <w:shd w:fill="auto" w:val="clear"/>
                <w:vertAlign w:val="baseline"/>
                <w:rtl w:val="0"/>
              </w:rPr>
              <w:t xml:space="preserve">Dimensión Tecnológica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4c6c5" w:space="0" w:sz="6" w:val="single"/>
              <w:bottom w:color="c4c6c5" w:space="0" w:sz="6" w:val="single"/>
              <w:right w:color="c4c6c5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92" w:right="2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u w:val="none"/>
                <w:shd w:fill="auto" w:val="clear"/>
                <w:vertAlign w:val="baseline"/>
                <w:rtl w:val="0"/>
              </w:rPr>
              <w:t xml:space="preserve">Alternativas a Evaluar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4c6c5" w:space="0" w:sz="6" w:val="single"/>
              <w:bottom w:color="c4c6c5" w:space="0" w:sz="6" w:val="single"/>
              <w:right w:color="c4c6c5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93" w:right="26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u w:val="none"/>
                <w:shd w:fill="auto" w:val="clear"/>
                <w:vertAlign w:val="baseline"/>
                <w:rtl w:val="0"/>
              </w:rPr>
              <w:t xml:space="preserve">Opción Seleccionada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4c6c5" w:space="0" w:sz="6" w:val="single"/>
              <w:bottom w:color="c4c6c5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9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u w:val="none"/>
                <w:shd w:fill="auto" w:val="clear"/>
                <w:vertAlign w:val="baseline"/>
                <w:rtl w:val="0"/>
              </w:rPr>
              <w:t xml:space="preserve">Justificación Técnica basada en el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.99999999999773" w:hRule="atLeast"/>
          <w:tblHeader w:val="0"/>
        </w:trPr>
        <w:tc>
          <w:tcPr>
            <w:tcBorders>
              <w:top w:color="c4c6c5" w:space="0" w:sz="6" w:val="single"/>
              <w:bottom w:color="000000" w:space="0" w:sz="0" w:val="nil"/>
              <w:right w:color="c4c6c5" w:space="0" w:sz="6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6c5" w:space="0" w:sz="6" w:val="single"/>
              <w:left w:color="c4c6c5" w:space="0" w:sz="6" w:val="single"/>
              <w:bottom w:color="000000" w:space="0" w:sz="0" w:val="nil"/>
              <w:right w:color="c4c6c5" w:space="0" w:sz="6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127" w:line="241" w:lineRule="auto"/>
              <w:ind w:left="425.19685039370074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u w:val="none"/>
                <w:shd w:fill="auto" w:val="clear"/>
                <w:vertAlign w:val="baseline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4c6c5" w:space="0" w:sz="6" w:val="single"/>
              <w:left w:color="c4c6c5" w:space="0" w:sz="6" w:val="single"/>
              <w:bottom w:color="c4c6c5" w:space="0" w:sz="6" w:val="single"/>
              <w:right w:color="c4c6c5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6c5" w:space="0" w:sz="6" w:val="single"/>
              <w:left w:color="c4c6c5" w:space="0" w:sz="6" w:val="single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2.013549804687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c4c6c5" w:space="0" w:sz="6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" w:right="73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u w:val="none"/>
                <w:shd w:fill="auto" w:val="clear"/>
                <w:vertAlign w:val="baseline"/>
                <w:rtl w:val="0"/>
              </w:rPr>
              <w:t xml:space="preserve">Paradigma y Lenguaje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4c6c5" w:space="0" w:sz="6" w:val="single"/>
              <w:bottom w:color="000000" w:space="0" w:sz="0" w:val="nil"/>
              <w:right w:color="c4c6c5" w:space="0" w:sz="6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4c6c5" w:space="0" w:sz="6" w:val="single"/>
              <w:left w:color="c4c6c5" w:space="0" w:sz="6" w:val="single"/>
              <w:bottom w:color="c4c6c5" w:space="0" w:sz="6" w:val="single"/>
              <w:right w:color="c4c6c5" w:space="0" w:sz="6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4c6c5" w:space="0" w:sz="6" w:val="single"/>
              <w:bottom w:color="000000" w:space="0" w:sz="0" w:val="nil"/>
            </w:tcBorders>
            <w:tcMar>
              <w:top w:w="283.46456692913387" w:type="dxa"/>
              <w:left w:w="283.46456692913387" w:type="dxa"/>
              <w:bottom w:w="283.46456692913387" w:type="dxa"/>
              <w:right w:w="283.46456692913387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right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Java porque tiene una buena gestión de memoria y librerías de concurrencia madura, lo que permite manejar varias operaciones al mismo tiempo de forma segura.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c4c6c5" w:space="0" w:sz="6" w:val="single"/>
              <w:right w:color="c4c6c5" w:space="0" w:sz="6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4c6c5" w:space="0" w:sz="6" w:val="single"/>
              <w:bottom w:color="c4c6c5" w:space="0" w:sz="6" w:val="single"/>
              <w:right w:color="c4c6c5" w:space="0" w:sz="6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4"/>
              </w:tabs>
              <w:spacing w:after="0" w:before="0" w:line="235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u w:val="none"/>
                <w:shd w:fill="auto" w:val="clear"/>
                <w:vertAlign w:val="baseline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4c6c5" w:space="0" w:sz="6" w:val="single"/>
              <w:left w:color="c4c6c5" w:space="0" w:sz="6" w:val="single"/>
              <w:bottom w:color="c4c6c5" w:space="0" w:sz="6" w:val="single"/>
              <w:right w:color="c4c6c5" w:space="0" w:sz="6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4c6c5" w:space="0" w:sz="6" w:val="single"/>
              <w:bottom w:color="c4c6c5" w:space="0" w:sz="6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6c5" w:space="0" w:sz="6" w:val="single"/>
              <w:bottom w:color="c4c6c5" w:space="0" w:sz="6" w:val="single"/>
              <w:right w:color="c4c6c5" w:space="0" w:sz="6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u w:val="none"/>
                <w:shd w:fill="auto" w:val="clear"/>
                <w:vertAlign w:val="baseline"/>
                <w:rtl w:val="0"/>
              </w:rPr>
              <w:t xml:space="preserve">Persistencia de Datos (Módulo Financiero)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6c5" w:space="0" w:sz="6" w:val="single"/>
              <w:left w:color="c4c6c5" w:space="0" w:sz="6" w:val="single"/>
              <w:bottom w:color="c4c6c5" w:space="0" w:sz="6" w:val="single"/>
              <w:right w:color="c4c6c5" w:space="0" w:sz="6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4"/>
              </w:tabs>
              <w:spacing w:after="0" w:before="127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u w:val="none"/>
                <w:shd w:fill="auto" w:val="clear"/>
                <w:vertAlign w:val="baseline"/>
                <w:rtl w:val="0"/>
              </w:rPr>
              <w:t xml:space="preserve">SQL(PostgreSQL)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4"/>
              </w:tabs>
              <w:spacing w:after="0" w:before="127" w:line="240" w:lineRule="auto"/>
              <w:ind w:left="720" w:right="0" w:firstLine="0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u w:val="none"/>
                <w:shd w:fill="auto" w:val="clear"/>
                <w:vertAlign w:val="baseline"/>
                <w:rtl w:val="0"/>
              </w:rPr>
              <w:t xml:space="preserve">NoSQL (MongoDB)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6c5" w:space="0" w:sz="6" w:val="single"/>
              <w:left w:color="c4c6c5" w:space="0" w:sz="6" w:val="single"/>
              <w:bottom w:color="c4c6c5" w:space="0" w:sz="6" w:val="single"/>
              <w:right w:color="c4c6c5" w:space="0" w:sz="6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tabs>
                <w:tab w:val="left" w:leader="none" w:pos="334"/>
              </w:tabs>
              <w:spacing w:before="127" w:lineRule="auto"/>
              <w:ind w:left="0" w:firstLine="0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SQL</w:t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334"/>
              </w:tabs>
              <w:spacing w:before="127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(PostgreSQL)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6c5" w:space="0" w:sz="6" w:val="single"/>
              <w:left w:color="c4c6c5" w:space="0" w:sz="6" w:val="single"/>
              <w:bottom w:color="c4c6c5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7" w:line="240" w:lineRule="auto"/>
              <w:ind w:left="195" w:right="204" w:firstLine="0"/>
              <w:jc w:val="center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PostgreSQL porque cumple con las propiedades ACID, lo que garantiza que las facturas y los pagos se registren correctamente y no se pierdan ni se dupliquen cuando hay varias transacciones al mismo tiempo. Además, mantiene la integridad de los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2.7636718750023" w:hRule="atLeast"/>
          <w:tblHeader w:val="0"/>
        </w:trPr>
        <w:tc>
          <w:tcPr>
            <w:tcBorders>
              <w:top w:color="c4c6c5" w:space="0" w:sz="6" w:val="single"/>
              <w:bottom w:color="c4c6c5" w:space="0" w:sz="6" w:val="single"/>
              <w:right w:color="c4c6c5" w:space="0" w:sz="6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84" w:right="325" w:firstLine="0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u w:val="none"/>
                <w:shd w:fill="auto" w:val="clear"/>
                <w:vertAlign w:val="baseline"/>
                <w:rtl w:val="0"/>
              </w:rPr>
              <w:t xml:space="preserve">Persistencia de Datos (Módulo Telemetría GPS)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6c5" w:space="0" w:sz="6" w:val="single"/>
              <w:left w:color="c4c6c5" w:space="0" w:sz="6" w:val="single"/>
              <w:bottom w:color="c4c6c5" w:space="0" w:sz="6" w:val="single"/>
              <w:right w:color="c4c6c5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4"/>
              </w:tabs>
              <w:spacing w:after="0" w:before="128" w:line="240" w:lineRule="auto"/>
              <w:ind w:left="334" w:right="0" w:hanging="142"/>
              <w:jc w:val="center"/>
              <w:rPr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u w:val="none"/>
                <w:shd w:fill="auto" w:val="clear"/>
                <w:vertAlign w:val="baseline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u w:val="none"/>
                <w:shd w:fill="auto" w:val="clear"/>
                <w:vertAlign w:val="baseline"/>
                <w:rtl w:val="0"/>
              </w:rPr>
              <w:t xml:space="preserve">(PostgreSQL)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4"/>
              </w:tabs>
              <w:spacing w:after="0" w:before="1" w:line="240" w:lineRule="auto"/>
              <w:ind w:left="192" w:right="523" w:firstLine="0"/>
              <w:jc w:val="center"/>
              <w:rPr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u w:val="none"/>
                <w:shd w:fill="auto" w:val="clear"/>
                <w:vertAlign w:val="baseline"/>
                <w:rtl w:val="0"/>
              </w:rPr>
              <w:t xml:space="preserve">NoSQL (MongoDB)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6c5" w:space="0" w:sz="6" w:val="single"/>
              <w:left w:color="c4c6c5" w:space="0" w:sz="6" w:val="single"/>
              <w:bottom w:color="c4c6c5" w:space="0" w:sz="6" w:val="single"/>
              <w:right w:color="c4c6c5" w:space="0" w:sz="6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NoSQL (MongoDB)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6c5" w:space="0" w:sz="6" w:val="single"/>
              <w:left w:color="c4c6c5" w:space="0" w:sz="6" w:val="single"/>
              <w:bottom w:color="c4c6c5" w:space="0" w:sz="6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19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Las bases de datos NoSQL están optimizadas para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escrituras concurrentes ultrarrápidas y de baja latencia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, permitiendo recibir miles de ubicaciones por segundo sin saturar el sistema y tambíen es bastanwte flexible respecto a qué datos llegan y cuales no, a diferencia de SQL y su esquema rígido.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6c5" w:space="0" w:sz="6" w:val="single"/>
              <w:bottom w:color="000000" w:space="0" w:sz="0" w:val="nil"/>
              <w:right w:color="c4c6c5" w:space="0" w:sz="6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6c5" w:space="0" w:sz="6" w:val="single"/>
              <w:left w:color="c4c6c5" w:space="0" w:sz="6" w:val="single"/>
              <w:bottom w:color="000000" w:space="0" w:sz="0" w:val="nil"/>
              <w:right w:color="c4c6c5" w:space="0" w:sz="6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4"/>
              </w:tabs>
              <w:spacing w:after="0" w:before="107" w:line="240" w:lineRule="auto"/>
              <w:ind w:left="192" w:right="673" w:firstLine="0"/>
              <w:jc w:val="center"/>
              <w:rPr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u w:val="none"/>
                <w:shd w:fill="auto" w:val="clear"/>
                <w:vertAlign w:val="baseline"/>
                <w:rtl w:val="0"/>
              </w:rPr>
              <w:t xml:space="preserve">Monolito clásico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4c6c5" w:space="0" w:sz="6" w:val="single"/>
              <w:left w:color="c4c6c5" w:space="0" w:sz="6" w:val="single"/>
              <w:right w:color="c4c6c5" w:space="0" w:sz="6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Monolito clásico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6c5" w:space="0" w:sz="6" w:val="single"/>
              <w:left w:color="c4c6c5" w:space="0" w:sz="6" w:val="single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9.7851562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c4c6c5" w:space="0" w:sz="6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40" w:lineRule="auto"/>
              <w:ind w:left="184" w:right="5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u w:val="none"/>
                <w:shd w:fill="auto" w:val="clear"/>
                <w:vertAlign w:val="baseline"/>
                <w:rtl w:val="0"/>
              </w:rPr>
              <w:t xml:space="preserve">Estilo Arquitectónico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4c6c5" w:space="0" w:sz="6" w:val="single"/>
              <w:bottom w:color="000000" w:space="0" w:sz="0" w:val="nil"/>
              <w:right w:color="c4c6c5" w:space="0" w:sz="6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6"/>
              </w:tabs>
              <w:spacing w:after="0" w:before="265" w:line="240" w:lineRule="auto"/>
              <w:ind w:left="192" w:right="273" w:firstLine="0"/>
              <w:jc w:val="center"/>
              <w:rPr>
                <w:smallCaps w:val="0"/>
                <w:strike w:val="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u w:val="none"/>
                <w:shd w:fill="auto" w:val="clear"/>
                <w:vertAlign w:val="baseline"/>
                <w:rtl w:val="0"/>
              </w:rPr>
              <w:t xml:space="preserve">Microservicios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4c6c5" w:space="0" w:sz="6" w:val="single"/>
              <w:left w:color="c4c6c5" w:space="0" w:sz="6" w:val="single"/>
              <w:right w:color="c4c6c5" w:space="0" w:sz="6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4c6c5" w:space="0" w:sz="6" w:val="single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1f1f1f"/>
                <w:u w:val="none"/>
                <w:shd w:fill="auto" w:val="clear"/>
                <w:vertAlign w:val="baseline"/>
                <w:rtl w:val="0"/>
              </w:rPr>
              <w:t xml:space="preserve">Teniendo en cuenta el límite de tiempo de 2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1f1f1f"/>
                <w:u w:val="none"/>
                <w:shd w:fill="auto" w:val="clear"/>
                <w:vertAlign w:val="baseline"/>
                <w:rtl w:val="0"/>
              </w:rPr>
              <w:t xml:space="preserve">meses y la restricción presupuestaria,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el estilo de monolito evita la complejidad de red, despliegue y orquestación que requieren los microservicios, permitiendo lanzar la prueba piloto rápidamente con un costo de infraestructura muy bajo.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1f1f1f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right w:color="c4c6c5" w:space="0" w:sz="6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4c6c5" w:space="0" w:sz="6" w:val="single"/>
              <w:right w:color="c4c6c5" w:space="0" w:sz="6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4"/>
              </w:tabs>
              <w:spacing w:after="0" w:before="0" w:line="255" w:lineRule="auto"/>
              <w:ind w:left="334" w:right="0" w:hanging="142"/>
              <w:jc w:val="center"/>
              <w:rPr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u w:val="none"/>
                <w:shd w:fill="auto" w:val="clear"/>
                <w:vertAlign w:val="baseline"/>
                <w:rtl w:val="0"/>
              </w:rPr>
              <w:t xml:space="preserve">Serverless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u w:val="none"/>
                <w:shd w:fill="auto" w:val="clear"/>
                <w:vertAlign w:val="baseline"/>
                <w:rtl w:val="0"/>
              </w:rPr>
              <w:t xml:space="preserve">(FaaS)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4c6c5" w:space="0" w:sz="6" w:val="single"/>
              <w:left w:color="c4c6c5" w:space="0" w:sz="6" w:val="single"/>
              <w:right w:color="c4c6c5" w:space="0" w:sz="6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4c6c5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2"/>
        </w:tabs>
        <w:spacing w:after="0" w:before="2" w:line="237" w:lineRule="auto"/>
        <w:ind w:left="0" w:right="135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380" w:left="1440" w:right="3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486" w:hanging="225"/>
      </w:pPr>
      <w:rPr>
        <w:rFonts w:ascii="Calibri" w:cs="Calibri" w:eastAsia="Calibri" w:hAnsi="Calibri"/>
        <w:b w:val="0"/>
        <w:bCs w:val="0"/>
        <w:i w:val="0"/>
        <w:iCs w:val="0"/>
        <w:color w:val="4471c4"/>
        <w:sz w:val="22"/>
        <w:szCs w:val="22"/>
      </w:rPr>
    </w:lvl>
    <w:lvl w:ilvl="1">
      <w:start w:val="1"/>
      <w:numFmt w:val="decimal"/>
      <w:lvlText w:val="%2."/>
      <w:lvlJc w:val="left"/>
      <w:pPr>
        <w:ind w:left="982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2031" w:hanging="360"/>
      </w:pPr>
      <w:rPr/>
    </w:lvl>
    <w:lvl w:ilvl="3">
      <w:start w:val="0"/>
      <w:numFmt w:val="bullet"/>
      <w:lvlText w:val="•"/>
      <w:lvlJc w:val="left"/>
      <w:pPr>
        <w:ind w:left="3082" w:hanging="360"/>
      </w:pPr>
      <w:rPr/>
    </w:lvl>
    <w:lvl w:ilvl="4">
      <w:start w:val="0"/>
      <w:numFmt w:val="bullet"/>
      <w:lvlText w:val="•"/>
      <w:lvlJc w:val="left"/>
      <w:pPr>
        <w:ind w:left="4133" w:hanging="360"/>
      </w:pPr>
      <w:rPr/>
    </w:lvl>
    <w:lvl w:ilvl="5">
      <w:start w:val="0"/>
      <w:numFmt w:val="bullet"/>
      <w:lvlText w:val="•"/>
      <w:lvlJc w:val="left"/>
      <w:pPr>
        <w:ind w:left="5184" w:hanging="360"/>
      </w:pPr>
      <w:rPr/>
    </w:lvl>
    <w:lvl w:ilvl="6">
      <w:start w:val="0"/>
      <w:numFmt w:val="bullet"/>
      <w:lvlText w:val="•"/>
      <w:lvlJc w:val="left"/>
      <w:pPr>
        <w:ind w:left="6235" w:hanging="360"/>
      </w:pPr>
      <w:rPr/>
    </w:lvl>
    <w:lvl w:ilvl="7">
      <w:start w:val="0"/>
      <w:numFmt w:val="bullet"/>
      <w:lvlText w:val="•"/>
      <w:lvlJc w:val="left"/>
      <w:pPr>
        <w:ind w:left="7286" w:hanging="360"/>
      </w:pPr>
      <w:rPr/>
    </w:lvl>
    <w:lvl w:ilvl="8">
      <w:start w:val="0"/>
      <w:numFmt w:val="bullet"/>
      <w:lvlText w:val="•"/>
      <w:lvlJc w:val="left"/>
      <w:pPr>
        <w:ind w:left="8337" w:hanging="36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334" w:hanging="143.00000000000003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1f1f1f"/>
        <w:sz w:val="24"/>
        <w:szCs w:val="24"/>
      </w:rPr>
    </w:lvl>
    <w:lvl w:ilvl="1">
      <w:start w:val="0"/>
      <w:numFmt w:val="bullet"/>
      <w:lvlText w:val="•"/>
      <w:lvlJc w:val="left"/>
      <w:pPr>
        <w:ind w:left="496" w:hanging="143"/>
      </w:pPr>
      <w:rPr/>
    </w:lvl>
    <w:lvl w:ilvl="2">
      <w:start w:val="0"/>
      <w:numFmt w:val="bullet"/>
      <w:lvlText w:val="•"/>
      <w:lvlJc w:val="left"/>
      <w:pPr>
        <w:ind w:left="653" w:hanging="143"/>
      </w:pPr>
      <w:rPr/>
    </w:lvl>
    <w:lvl w:ilvl="3">
      <w:start w:val="0"/>
      <w:numFmt w:val="bullet"/>
      <w:lvlText w:val="•"/>
      <w:lvlJc w:val="left"/>
      <w:pPr>
        <w:ind w:left="809" w:hanging="142.9999999999999"/>
      </w:pPr>
      <w:rPr/>
    </w:lvl>
    <w:lvl w:ilvl="4">
      <w:start w:val="0"/>
      <w:numFmt w:val="bullet"/>
      <w:lvlText w:val="•"/>
      <w:lvlJc w:val="left"/>
      <w:pPr>
        <w:ind w:left="966" w:hanging="143"/>
      </w:pPr>
      <w:rPr/>
    </w:lvl>
    <w:lvl w:ilvl="5">
      <w:start w:val="0"/>
      <w:numFmt w:val="bullet"/>
      <w:lvlText w:val="•"/>
      <w:lvlJc w:val="left"/>
      <w:pPr>
        <w:ind w:left="1122" w:hanging="143"/>
      </w:pPr>
      <w:rPr/>
    </w:lvl>
    <w:lvl w:ilvl="6">
      <w:start w:val="0"/>
      <w:numFmt w:val="bullet"/>
      <w:lvlText w:val="•"/>
      <w:lvlJc w:val="left"/>
      <w:pPr>
        <w:ind w:left="1279" w:hanging="143"/>
      </w:pPr>
      <w:rPr/>
    </w:lvl>
    <w:lvl w:ilvl="7">
      <w:start w:val="0"/>
      <w:numFmt w:val="bullet"/>
      <w:lvlText w:val="•"/>
      <w:lvlJc w:val="left"/>
      <w:pPr>
        <w:ind w:left="1435" w:hanging="143"/>
      </w:pPr>
      <w:rPr/>
    </w:lvl>
    <w:lvl w:ilvl="8">
      <w:start w:val="0"/>
      <w:numFmt w:val="bullet"/>
      <w:lvlText w:val="•"/>
      <w:lvlJc w:val="left"/>
      <w:pPr>
        <w:ind w:left="1592" w:hanging="143.00000000000023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192" w:hanging="86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1f1f1f"/>
        <w:sz w:val="22"/>
        <w:szCs w:val="22"/>
      </w:rPr>
    </w:lvl>
    <w:lvl w:ilvl="1">
      <w:start w:val="0"/>
      <w:numFmt w:val="bullet"/>
      <w:lvlText w:val="•"/>
      <w:lvlJc w:val="left"/>
      <w:pPr>
        <w:ind w:left="370" w:hanging="86"/>
      </w:pPr>
      <w:rPr/>
    </w:lvl>
    <w:lvl w:ilvl="2">
      <w:start w:val="0"/>
      <w:numFmt w:val="bullet"/>
      <w:lvlText w:val="•"/>
      <w:lvlJc w:val="left"/>
      <w:pPr>
        <w:ind w:left="541" w:hanging="86"/>
      </w:pPr>
      <w:rPr/>
    </w:lvl>
    <w:lvl w:ilvl="3">
      <w:start w:val="0"/>
      <w:numFmt w:val="bullet"/>
      <w:lvlText w:val="•"/>
      <w:lvlJc w:val="left"/>
      <w:pPr>
        <w:ind w:left="711" w:hanging="86.00000000000011"/>
      </w:pPr>
      <w:rPr/>
    </w:lvl>
    <w:lvl w:ilvl="4">
      <w:start w:val="0"/>
      <w:numFmt w:val="bullet"/>
      <w:lvlText w:val="•"/>
      <w:lvlJc w:val="left"/>
      <w:pPr>
        <w:ind w:left="882" w:hanging="85.99999999999989"/>
      </w:pPr>
      <w:rPr/>
    </w:lvl>
    <w:lvl w:ilvl="5">
      <w:start w:val="0"/>
      <w:numFmt w:val="bullet"/>
      <w:lvlText w:val="•"/>
      <w:lvlJc w:val="left"/>
      <w:pPr>
        <w:ind w:left="1052" w:hanging="85.99999999999989"/>
      </w:pPr>
      <w:rPr/>
    </w:lvl>
    <w:lvl w:ilvl="6">
      <w:start w:val="0"/>
      <w:numFmt w:val="bullet"/>
      <w:lvlText w:val="•"/>
      <w:lvlJc w:val="left"/>
      <w:pPr>
        <w:ind w:left="1223" w:hanging="86"/>
      </w:pPr>
      <w:rPr/>
    </w:lvl>
    <w:lvl w:ilvl="7">
      <w:start w:val="0"/>
      <w:numFmt w:val="bullet"/>
      <w:lvlText w:val="•"/>
      <w:lvlJc w:val="left"/>
      <w:pPr>
        <w:ind w:left="1393" w:hanging="85.99999999999977"/>
      </w:pPr>
      <w:rPr/>
    </w:lvl>
    <w:lvl w:ilvl="8">
      <w:start w:val="0"/>
      <w:numFmt w:val="bullet"/>
      <w:lvlText w:val="•"/>
      <w:lvlJc w:val="left"/>
      <w:pPr>
        <w:ind w:left="1564" w:hanging="86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192" w:hanging="143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1f1f1f"/>
        <w:sz w:val="24"/>
        <w:szCs w:val="24"/>
      </w:rPr>
    </w:lvl>
    <w:lvl w:ilvl="1">
      <w:start w:val="0"/>
      <w:numFmt w:val="bullet"/>
      <w:lvlText w:val="•"/>
      <w:lvlJc w:val="left"/>
      <w:pPr>
        <w:ind w:left="370" w:hanging="143"/>
      </w:pPr>
      <w:rPr/>
    </w:lvl>
    <w:lvl w:ilvl="2">
      <w:start w:val="0"/>
      <w:numFmt w:val="bullet"/>
      <w:lvlText w:val="•"/>
      <w:lvlJc w:val="left"/>
      <w:pPr>
        <w:ind w:left="541" w:hanging="143"/>
      </w:pPr>
      <w:rPr/>
    </w:lvl>
    <w:lvl w:ilvl="3">
      <w:start w:val="0"/>
      <w:numFmt w:val="bullet"/>
      <w:lvlText w:val="•"/>
      <w:lvlJc w:val="left"/>
      <w:pPr>
        <w:ind w:left="711" w:hanging="143"/>
      </w:pPr>
      <w:rPr/>
    </w:lvl>
    <w:lvl w:ilvl="4">
      <w:start w:val="0"/>
      <w:numFmt w:val="bullet"/>
      <w:lvlText w:val="•"/>
      <w:lvlJc w:val="left"/>
      <w:pPr>
        <w:ind w:left="882" w:hanging="143"/>
      </w:pPr>
      <w:rPr/>
    </w:lvl>
    <w:lvl w:ilvl="5">
      <w:start w:val="0"/>
      <w:numFmt w:val="bullet"/>
      <w:lvlText w:val="•"/>
      <w:lvlJc w:val="left"/>
      <w:pPr>
        <w:ind w:left="1052" w:hanging="143"/>
      </w:pPr>
      <w:rPr/>
    </w:lvl>
    <w:lvl w:ilvl="6">
      <w:start w:val="0"/>
      <w:numFmt w:val="bullet"/>
      <w:lvlText w:val="•"/>
      <w:lvlJc w:val="left"/>
      <w:pPr>
        <w:ind w:left="1223" w:hanging="143"/>
      </w:pPr>
      <w:rPr/>
    </w:lvl>
    <w:lvl w:ilvl="7">
      <w:start w:val="0"/>
      <w:numFmt w:val="bullet"/>
      <w:lvlText w:val="•"/>
      <w:lvlJc w:val="left"/>
      <w:pPr>
        <w:ind w:left="1393" w:hanging="142.99999999999977"/>
      </w:pPr>
      <w:rPr/>
    </w:lvl>
    <w:lvl w:ilvl="8">
      <w:start w:val="0"/>
      <w:numFmt w:val="bullet"/>
      <w:lvlText w:val="•"/>
      <w:lvlJc w:val="left"/>
      <w:pPr>
        <w:ind w:left="1564" w:hanging="143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192" w:hanging="143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1f1f1f"/>
        <w:sz w:val="24"/>
        <w:szCs w:val="24"/>
      </w:rPr>
    </w:lvl>
    <w:lvl w:ilvl="1">
      <w:start w:val="0"/>
      <w:numFmt w:val="bullet"/>
      <w:lvlText w:val="•"/>
      <w:lvlJc w:val="left"/>
      <w:pPr>
        <w:ind w:left="370" w:hanging="143"/>
      </w:pPr>
      <w:rPr/>
    </w:lvl>
    <w:lvl w:ilvl="2">
      <w:start w:val="0"/>
      <w:numFmt w:val="bullet"/>
      <w:lvlText w:val="•"/>
      <w:lvlJc w:val="left"/>
      <w:pPr>
        <w:ind w:left="541" w:hanging="143"/>
      </w:pPr>
      <w:rPr/>
    </w:lvl>
    <w:lvl w:ilvl="3">
      <w:start w:val="0"/>
      <w:numFmt w:val="bullet"/>
      <w:lvlText w:val="•"/>
      <w:lvlJc w:val="left"/>
      <w:pPr>
        <w:ind w:left="711" w:hanging="143"/>
      </w:pPr>
      <w:rPr/>
    </w:lvl>
    <w:lvl w:ilvl="4">
      <w:start w:val="0"/>
      <w:numFmt w:val="bullet"/>
      <w:lvlText w:val="•"/>
      <w:lvlJc w:val="left"/>
      <w:pPr>
        <w:ind w:left="882" w:hanging="143"/>
      </w:pPr>
      <w:rPr/>
    </w:lvl>
    <w:lvl w:ilvl="5">
      <w:start w:val="0"/>
      <w:numFmt w:val="bullet"/>
      <w:lvlText w:val="•"/>
      <w:lvlJc w:val="left"/>
      <w:pPr>
        <w:ind w:left="1052" w:hanging="143"/>
      </w:pPr>
      <w:rPr/>
    </w:lvl>
    <w:lvl w:ilvl="6">
      <w:start w:val="0"/>
      <w:numFmt w:val="bullet"/>
      <w:lvlText w:val="•"/>
      <w:lvlJc w:val="left"/>
      <w:pPr>
        <w:ind w:left="1223" w:hanging="143"/>
      </w:pPr>
      <w:rPr/>
    </w:lvl>
    <w:lvl w:ilvl="7">
      <w:start w:val="0"/>
      <w:numFmt w:val="bullet"/>
      <w:lvlText w:val="•"/>
      <w:lvlJc w:val="left"/>
      <w:pPr>
        <w:ind w:left="1393" w:hanging="142.99999999999977"/>
      </w:pPr>
      <w:rPr/>
    </w:lvl>
    <w:lvl w:ilvl="8">
      <w:start w:val="0"/>
      <w:numFmt w:val="bullet"/>
      <w:lvlText w:val="•"/>
      <w:lvlJc w:val="left"/>
      <w:pPr>
        <w:ind w:left="1564" w:hanging="143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62" w:hanging="360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2026-07-30T00:00:00Z</vt:lpwstr>
  </property>
  <property fmtid="{D5CDD505-2E9C-101B-9397-08002B2CF9AE}" pid="4" name="Creator">
    <vt:lpwstr>Microsoft® Word 2019</vt:lpwstr>
  </property>
  <property fmtid="{D5CDD505-2E9C-101B-9397-08002B2CF9AE}" pid="5" name="LastSaved">
    <vt:lpwstr>2026-07-30T00:00:00Z</vt:lpwstr>
  </property>
  <property fmtid="{D5CDD505-2E9C-101B-9397-08002B2CF9AE}" pid="6" name="Producer">
    <vt:lpwstr>Microsoft® Word 2019</vt:lpwstr>
  </property>
</Properties>
</file>