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lrrb0zyj848n" w:id="0"/>
      <w:bookmarkEnd w:id="0"/>
      <w:r w:rsidDel="00000000" w:rsidR="00000000" w:rsidRPr="00000000">
        <w:rPr>
          <w:rtl w:val="0"/>
        </w:rPr>
        <w:t xml:space="preserve">SAC visualization reference table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Open Sans" w:cs="Open Sans" w:eastAsia="Open Sans" w:hAnsi="Open Sans"/>
          <w:sz w:val="46"/>
          <w:szCs w:val="46"/>
        </w:rPr>
      </w:pPr>
      <w:bookmarkStart w:colFirst="0" w:colLast="0" w:name="_owa9t0ab800h" w:id="1"/>
      <w:bookmarkEnd w:id="1"/>
      <w:r w:rsidDel="00000000" w:rsidR="00000000" w:rsidRPr="00000000">
        <w:rPr>
          <w:rFonts w:ascii="Open Sans" w:cs="Open Sans" w:eastAsia="Open Sans" w:hAnsi="Open Sans"/>
          <w:sz w:val="46"/>
          <w:szCs w:val="46"/>
          <w:rtl w:val="0"/>
        </w:rPr>
        <w:t xml:space="preserve">Step 2: Design the dashboard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quick reference guide to quickly select the appropriate visualization type in SAP Analytics Cloud based on your business question and data context.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3000"/>
        <w:gridCol w:w="2940"/>
        <w:tblGridChange w:id="0">
          <w:tblGrid>
            <w:gridCol w:w="2955"/>
            <w:gridCol w:w="3000"/>
            <w:gridCol w:w="294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goal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visualization 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from screen captures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Compare production costs across regions and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Horizontal Bar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Production Cost per Product Line, Region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Analyze trends 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Line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 Revenue per Quarter, Region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Compare overall performance between regions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Vertical Bar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Sales Revenue per Quarter, Region (Grouped Bars)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Monitor operational performance (e.g., turnover rates)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Simple Bar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 Turnover Rate per Product Line, Quarter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Assess satisfaction distributions against thresholds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Bullet/Threshold Bar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Satisfaction (%) per Product Line, Region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