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vertAlign w:val="baseline"/>
        </w:rPr>
      </w:pPr>
      <w:bookmarkStart w:colFirst="0" w:colLast="0" w:name="_uw8pusavzp23" w:id="0"/>
      <w:bookmarkEnd w:id="0"/>
      <w:r w:rsidDel="00000000" w:rsidR="00000000" w:rsidRPr="00000000">
        <w:rPr>
          <w:vertAlign w:val="baseline"/>
          <w:rtl w:val="0"/>
        </w:rPr>
        <w:t xml:space="preserve">SAP S/4HANA Implementation &amp; Change Management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outlines the strategic framework for managing organizational change, resource allocation, and risk mitigation during the SAP S/4HANA transition.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vertAlign w:val="baseline"/>
        </w:rPr>
      </w:pPr>
      <w:bookmarkStart w:colFirst="0" w:colLast="0" w:name="_q4xaapvi05f1" w:id="1"/>
      <w:bookmarkEnd w:id="1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 Impact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assesses the impact of the SAP S/4HANA Implementation on key stakeholders.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identifies how business processes will shift and the degree of adaptation required by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vertAlign w:val="baseline"/>
        </w:rPr>
      </w:pPr>
      <w:bookmarkStart w:colFirst="0" w:colLast="0" w:name="_40igk3iymtjm" w:id="2"/>
      <w:bookmarkEnd w:id="2"/>
      <w:r w:rsidDel="00000000" w:rsidR="00000000" w:rsidRPr="00000000">
        <w:rPr>
          <w:vertAlign w:val="baseline"/>
          <w:rtl w:val="0"/>
        </w:rPr>
        <w:t xml:space="preserve">2.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Communication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outlines the communication strategy for the project.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ensures that all stakeholders receive consistent updates regarding project milestones, expectations, and procedural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vertAlign w:val="baseline"/>
        </w:rPr>
      </w:pPr>
      <w:bookmarkStart w:colFirst="0" w:colLast="0" w:name="_ez5gz5tc321v" w:id="3"/>
      <w:bookmarkEnd w:id="3"/>
      <w:r w:rsidDel="00000000" w:rsidR="00000000" w:rsidRPr="00000000">
        <w:rPr>
          <w:vertAlign w:val="baseline"/>
          <w:rtl w:val="0"/>
        </w:rPr>
        <w:t xml:space="preserve">3.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Training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outlines the training plan for end users.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to ensure that the workforce is proficient in the new SAP environment, thereby reducing operational friction post-go-live.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vertAlign w:val="baseline"/>
        </w:rPr>
      </w:pPr>
      <w:bookmarkStart w:colFirst="0" w:colLast="0" w:name="_cruchuae0b01" w:id="4"/>
      <w:bookmarkEnd w:id="4"/>
      <w:r w:rsidDel="00000000" w:rsidR="00000000" w:rsidRPr="00000000">
        <w:rPr>
          <w:vertAlign w:val="baseline"/>
          <w:rtl w:val="0"/>
        </w:rPr>
        <w:t xml:space="preserve">4.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project stability, potential risks have been quantified with corresponding mitigation strategies: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Delaying testing of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Analyzing custom code in existing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Reducing the realized value of the new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Implementing comprehensive user training programs.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Corrupting the new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Contracting with a data auditing firm to mitigate issues.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>
          <w:vertAlign w:val="baseline"/>
        </w:rPr>
      </w:pPr>
      <w:bookmarkStart w:colFirst="0" w:colLast="0" w:name="_w7shr9mfj26p" w:id="5"/>
      <w:bookmarkEnd w:id="5"/>
      <w:r w:rsidDel="00000000" w:rsidR="00000000" w:rsidRPr="00000000">
        <w:rPr>
          <w:vertAlign w:val="baseline"/>
          <w:rtl w:val="0"/>
        </w:rPr>
        <w:t xml:space="preserve">5.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Success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lists the metrics used to measure the success of the implementation.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KPIs help gauge the effectiveness of our change management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Performance Indicators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Adoption Rate: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Measures how effectively employees are transitioning to the new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Satisfaction: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Gauges the sentiment and ease of use among the workforce.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Completion Rate: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Tracks the progress of the readiness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Downtime: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Monitors technical stability during the transition.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Logged Issues: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Tracks the volume and resolution of technical or functional hurdles.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widowControl w:val="0"/>
        <w:rPr>
          <w:vertAlign w:val="baseline"/>
        </w:rPr>
      </w:pPr>
      <w:bookmarkStart w:colFirst="0" w:colLast="0" w:name="_l38yndm3rsbj" w:id="6"/>
      <w:bookmarkEnd w:id="6"/>
      <w:r w:rsidDel="00000000" w:rsidR="00000000" w:rsidRPr="00000000">
        <w:rPr>
          <w:vertAlign w:val="baseline"/>
          <w:rtl w:val="0"/>
        </w:rPr>
        <w:t xml:space="preserve">6.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Resource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resources are assigned to ensure the technical and functional delivery of the project: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Alice 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 hours per week (April 1st, 2025 to May 31st, 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Bob Johnson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 hours per week (April 1st, 2025 to June 15th, 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>
          <w:vertAlign w:val="baseline"/>
        </w:rPr>
      </w:pPr>
      <w:bookmarkStart w:colFirst="0" w:colLast="0" w:name="_ll71hwrmanck" w:id="7"/>
      <w:bookmarkEnd w:id="7"/>
      <w:r w:rsidDel="00000000" w:rsidR="00000000" w:rsidRPr="00000000">
        <w:rPr>
          <w:vertAlign w:val="baseline"/>
          <w:rtl w:val="0"/>
        </w:rPr>
        <w:t xml:space="preserve">7.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Contingency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develops plans to address potential deviations from strategic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market share growth is lower than expected, the organization will implement additional marketing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widowControl w:val="0"/>
        <w:rPr>
          <w:vertAlign w:val="baseline"/>
        </w:rPr>
      </w:pPr>
      <w:bookmarkStart w:colFirst="0" w:colLast="0" w:name="_9hk2e4dqjiwz" w:id="8"/>
      <w:bookmarkEnd w:id="8"/>
      <w:r w:rsidDel="00000000" w:rsidR="00000000" w:rsidRPr="00000000">
        <w:rPr>
          <w:vertAlign w:val="baseline"/>
          <w:rtl w:val="0"/>
        </w:rPr>
        <w:t xml:space="preserve">8.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Approval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creates an approval timeline for each stakeholder.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allocates specific time for reviewing and updating the plan in order to receive formal sign-off.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