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Strategic Solution Proposal: Global Supply Chain Transformation &amp; Tariff Resilience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Corporate Strategic Response to International Trade Regulations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Lead Business Analyst (SAP Strategic Solutions)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V2.0 (Comprehensive Analysis &amp; Design)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Spacing:</w:t>
      </w:r>
      <w:r w:rsidDel="00000000" w:rsidR="00000000" w:rsidRPr="00000000">
        <w:rPr>
          <w:rtl w:val="0"/>
        </w:rPr>
        <w:t xml:space="preserve"> 1.25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Our organization is at a critical juncture due to 15-25% reciprocal tariffs on essential electronics components (semiconductors/steel). This proposal outlines a multi-dimensional transformation strategy. By integrating </w:t>
      </w:r>
      <w:r w:rsidDel="00000000" w:rsidR="00000000" w:rsidRPr="00000000">
        <w:rPr>
          <w:b w:val="1"/>
          <w:bCs w:val="1"/>
          <w:rtl w:val="0"/>
        </w:rPr>
        <w:t xml:space="preserve">SAP Analytics Cloud (SAC)</w:t>
      </w:r>
      <w:r w:rsidDel="00000000" w:rsidR="00000000" w:rsidRPr="00000000">
        <w:rPr>
          <w:rtl w:val="0"/>
        </w:rPr>
        <w:t xml:space="preserve"> for predictive cost modeling and diversifying our manufacturing footprint to Vietnam and Mexico, we aim to recover 18% of lost margins within 18 months. This is not just a cost-saving measure; it is a strategic repositioning of our global value chain.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Business Challenge &amp; Financial Impact Analysis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sudden introduction of tariffs has created a "Landed Cost" crisis. Our current reliance on single-source Asian production is no longer financially viable for the US and EU markets.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08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08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Pre-Tariff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08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Post-Tariff (Current)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00408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Component Cost (Unit)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$100.00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$125.00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-13%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Lead Time (EU Market)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42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55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+31%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Stakeholder Matrix &amp; Strategic Alignment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CEO:</w:t>
      </w:r>
      <w:r w:rsidDel="00000000" w:rsidR="00000000" w:rsidRPr="00000000">
        <w:rPr>
          <w:rtl w:val="0"/>
        </w:rPr>
        <w:t xml:space="preserve"> Strategic goal is market share preservation in EU/NA.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CFO:</w:t>
      </w:r>
      <w:r w:rsidDel="00000000" w:rsidR="00000000" w:rsidRPr="00000000">
        <w:rPr>
          <w:rtl w:val="0"/>
        </w:rPr>
        <w:t xml:space="preserve"> Focus on Net Present Value (NPV) of the transition and ROI on SAP GTS implementation.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Supply Chain Director:</w:t>
      </w:r>
      <w:r w:rsidDel="00000000" w:rsidR="00000000" w:rsidRPr="00000000">
        <w:rPr>
          <w:rtl w:val="0"/>
        </w:rPr>
        <w:t xml:space="preserve"> Operational focus on "Agile Sourcing" and supplier risk scores.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Advanced SWOT Analysis (Strategic Grid)</w:t>
      </w:r>
    </w:p>
    <w:tbl>
      <w:tblPr>
        <w:tblStyle w:val="Table2"/>
        <w:tblW w:w="9360.0" w:type="dxa"/>
        <w:jc w:val="left"/>
        <w:tblBorders>
          <w:top w:color="004085" w:space="0" w:sz="12" w:val="single"/>
          <w:left w:color="004085" w:space="0" w:sz="12" w:val="single"/>
          <w:bottom w:color="004085" w:space="0" w:sz="12" w:val="single"/>
          <w:right w:color="004085" w:space="0" w:sz="12" w:val="single"/>
          <w:insideH w:color="004085" w:space="0" w:sz="12" w:val="single"/>
          <w:insideV w:color="004085" w:space="0" w:sz="12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085" w:space="0" w:sz="12" w:val="single"/>
              <w:left w:color="004085" w:space="0" w:sz="12" w:val="single"/>
              <w:bottom w:color="004085" w:space="0" w:sz="12" w:val="single"/>
              <w:right w:color="004085" w:space="0" w:sz="12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STRENGTHS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Global SAP S/4HANA footprint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Strong brand equity in North America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Advanced R&amp;D for component substitution</w:t>
            </w:r>
          </w:p>
        </w:tc>
        <w:tc>
          <w:tcPr>
            <w:tcBorders>
              <w:top w:color="004085" w:space="0" w:sz="12" w:val="single"/>
              <w:left w:color="004085" w:space="0" w:sz="12" w:val="single"/>
              <w:bottom w:color="004085" w:space="0" w:sz="12" w:val="single"/>
              <w:right w:color="004085" w:space="0" w:sz="12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WEAKNESSES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Geographic over-concentration in Asia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Manual tariff classification processes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High inventory carrying costs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4085" w:space="0" w:sz="12" w:val="single"/>
              <w:left w:color="004085" w:space="0" w:sz="12" w:val="single"/>
              <w:bottom w:color="004085" w:space="0" w:sz="12" w:val="single"/>
              <w:right w:color="004085" w:space="0" w:sz="12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OPPORTUNITIES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USMCA benefits through Mexico production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Real-time visibility via SAC Dashboards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AI-driven demand forecasting</w:t>
            </w:r>
          </w:p>
        </w:tc>
        <w:tc>
          <w:tcPr>
            <w:tcBorders>
              <w:top w:color="004085" w:space="0" w:sz="12" w:val="single"/>
              <w:left w:color="004085" w:space="0" w:sz="12" w:val="single"/>
              <w:bottom w:color="004085" w:space="0" w:sz="12" w:val="single"/>
              <w:right w:color="004085" w:space="0" w:sz="12" w:val="single"/>
            </w:tcBorders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THREATS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Currency volatility in SE Asia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Further escalation of trade protectionism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vertAlign w:val="baseline"/>
                <w:rtl w:val="0"/>
              </w:rPr>
              <w:t xml:space="preserve">Competitor pivot to local manufacturing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Proposed Strategic Solution: "Project Resilience"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Our solution utilizes the </w:t>
      </w:r>
      <w:r w:rsidDel="00000000" w:rsidR="00000000" w:rsidRPr="00000000">
        <w:rPr>
          <w:b w:val="1"/>
          <w:bCs w:val="1"/>
          <w:rtl w:val="0"/>
        </w:rPr>
        <w:t xml:space="preserve">SAP Digital Core</w:t>
      </w:r>
      <w:r w:rsidDel="00000000" w:rsidR="00000000" w:rsidRPr="00000000">
        <w:rPr>
          <w:rtl w:val="0"/>
        </w:rPr>
        <w:t xml:space="preserve"> to orchestrate a pivot in production and logistics.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Digital Architecture Pillars: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SAP Analytics Cloud (SAC):</w:t>
      </w:r>
      <w:r w:rsidDel="00000000" w:rsidR="00000000" w:rsidRPr="00000000">
        <w:rPr>
          <w:rtl w:val="0"/>
        </w:rPr>
        <w:t xml:space="preserve"> Implementation of Value Driver Trees (VDT) to simulate "What-If" scenarios for tariff changes.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SAP GTS (Global Trade Services):</w:t>
      </w:r>
      <w:r w:rsidDel="00000000" w:rsidR="00000000" w:rsidRPr="00000000">
        <w:rPr>
          <w:rtl w:val="0"/>
        </w:rPr>
        <w:t xml:space="preserve"> Automation of self-filing and duty drawback programs to reclaim overpaid taxes.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Dual-Sourcing Model:</w:t>
      </w:r>
      <w:r w:rsidDel="00000000" w:rsidR="00000000" w:rsidRPr="00000000">
        <w:rPr>
          <w:rtl w:val="0"/>
        </w:rPr>
        <w:t xml:space="preserve"> Establishing a "China + 1" strategy with 40% volume allocated to Vietnam/Mexico.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Implementation Roadmap (Gantt Chart Logic)</w:t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Timeline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Discovery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Q1 - Q2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Supplier Audits, SAC Dashboard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Pilot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Q2 - Q4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First production run in Mexico, SAP GTS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3: Scale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Year 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Full 40% Diversification, Logistics Optimization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Risk Assessment &amp; Mitigation Matrix</w:t>
      </w:r>
    </w:p>
    <w:tbl>
      <w:tblPr>
        <w:tblStyle w:val="Table4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1ec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Identified Risk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1ec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Impact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1ec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Supplier Quality Shift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Mandatory SAP Ariba Network quality certification.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Geopolitical Instability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Periodic contingency review in SAC simulations.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Conclusion &amp; Strategic Recommendation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status quo is no longer an option. The data indicates that without this strategic pivot, our competitive advantage in Western markets will vanish by 2027. By adopting this SAP-centric, diversified sourcing model, we not only mitigate tariff risks but also build a resilient supply chain capable of withstanding future global shocks. We recommend immediate allocation of budget for Phase 1.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