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Template: Change Strategy Outline for Project 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Fill in each section below based on your analysis of the Project Unity scenario provided in the activity.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concise and focus on the key points as guided by the activity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Project Goal &amp; Change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Goal: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(Write 1 sentence stating the main business goal of Project Unity, e.g., "Improve efficiency and control via SAP FI/CO &amp; MM implementation")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 operational efficiency and financial control by implementing SAP S/4HANA (FI/CO and MM modules) to reduce month-end closing from 10 to 5 days and achieve a 15% reduction in procurement costs.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Change for Employees: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(Write 1 sentence summarizing the fundamental change for employees, e.g., "This involves replacing familiar legacy systems and manual processes with standardized SAP workflows")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involves replacing 15-year-old legacy systems and manual Excel-based processes with standardized SAP workflows, requiring a shift from siloed tasks to integrated digital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Key Stakeholders &amp; Primary Concerns: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(List the 3 priority stakeholder groups identified in Task 1b and their primary concern from Task 1c)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Stakeholder Group: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Finance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Concern: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Fear of job redundancy due to SAP’s automation capabilities and the loss of familiar, customized Excel reporting formats.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Stakeholder Group: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Procurement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Concern: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Anxiety regarding the perceived complexity of the SAP interface ("too many clicks") and fear that standardized system processes won't capture the nuances of specialized raw material sourcing.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Stakeholder Group: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Warehouse 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Concern: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Lack of clarity and communication regarding how the SAP MM integration will change their daily workflow with handheld scanners and WMS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Top Change Risks &amp; Mitigation/Communication Strategies: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(List the 2 top risks identified in Task 1d and the corresponding strategies developed in Task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Widespread resistance within the Finance department leading to low participation in design workshops and failure to adopt the new 5-day closing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Mitigation Action(s):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Conduct "Future-State Role Mapping" workshops to demonstrate how automation eliminates data entry but creates "Analyst" roles.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resistant Finance users as "Process Testers" to give them a sense of ownership.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Associated Communication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Finance Department users and Department Head.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Message: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"SAP is a tool for empowerment, not replacement; we are moving from manual entry to strategic financial analysis."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Channel/Method: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In-person town hall led by the CFO followed by hands-on demo sessions showing "A Day in the Life" with SAP.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 (Conceptual):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Change Manager &amp; CFO.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Procurement team’s struggle with system complexity causes a significant drop in productivity and damages long-term supplier relationships during the transition.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Mitigation Action(s):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Launch a "Procurement Super User" program involving the most vocal skeptics to co-design the Fiori (simplified) interface.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specialized "Supplier Transition Support" protocols to ensure no order bottlenecks.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Associated Communication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Procurement Department team and Warehouse Managers.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Message: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"We are simplifying the 'clicks' to focus on supplier quality; your expertise is what drives the system, not the other way around."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Channel/Method: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Weekly department huddles and easy-access "Quick Reference Guides" (QRGs) tailored to their specific sourcing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21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 (Conceptual):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Procurement Head &amp; Change Manager.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Key Training &amp; Support Needs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(Summarize the 1-2 most critical needs identified in Task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Critical Need: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Mandatory, role-specific "Closing &amp; Sourcing Simulation" training delivered 4-6 weeks before go-live.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must focus on end-to-end scenarios (e.g., PO-to-Payment) rather than just individual transactions to break down departmental silos.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Essential Support: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dedicated "Hypercare Taskforce" consisting of BT specialists and departmental Super Users stationed physically in the Finance and Warehouse areas for the first 30 days post-go-live to provide immediate, floor-level troubleshooting.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