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onsolas" w:cs="Consolas" w:eastAsia="Consolas" w:hAnsi="Consolas"/>
          <w:b/>
          <w:bCs/>
          <w:color w:val="1F7A8C"/>
          <w:spacing w:val="14"/>
          <w:sz w:val="17"/>
          <w:szCs w:val="17"/>
        </w:rPr>
        <w:t xml:space="preserve">MOBILE MONEY FRAUD DETECTION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A0F1A"/>
          <w:sz w:val="56"/>
          <w:szCs w:val="56"/>
        </w:rPr>
        <w:t xml:space="preserve">TrustRail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A machine-learning fraud detection console for mobile money transactions — synthetic-data MVP demonstrating end-to-end pipeline design, model evaluation discipline, and analyst-facing explainability.</w:t>
      </w:r>
    </w:p>
    <w:p>
      <w:pPr>
        <w:pBdr>
          <w:bottom w:val="single" w:color="D8DCE3" w:sz="6" w:space="1"/>
        </w:pBd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6"/>
        <w:gridCol w:w="2166"/>
      </w:tblGrid>
      <w:tr>
        <w:tc>
          <w:tcPr>
            <w:tcW w:type="dxa" w:w="2500"/>
            <w:shd w:fill="F4F6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30"/>
                <w:szCs w:val="30"/>
              </w:rPr>
              <w:t xml:space="preserve">0.987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2"/>
                <w:sz w:val="15"/>
                <w:szCs w:val="15"/>
              </w:rPr>
              <w:t xml:space="preserve">PR-AUC (test set)</w:t>
            </w:r>
          </w:p>
        </w:tc>
        <w:tc>
          <w:tcPr>
            <w:tcW w:type="dxa" w:w="2500"/>
            <w:shd w:fill="F4F6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8A63"/>
                <w:sz w:val="30"/>
                <w:szCs w:val="30"/>
              </w:rPr>
              <w:t xml:space="preserve">95.1%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2"/>
                <w:sz w:val="15"/>
                <w:szCs w:val="15"/>
              </w:rPr>
              <w:t xml:space="preserve">Recall @ 0.5 threshold</w:t>
            </w:r>
          </w:p>
        </w:tc>
        <w:tc>
          <w:tcPr>
            <w:tcW w:type="dxa" w:w="2500"/>
            <w:shd w:fill="F4F6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23A4A"/>
                <w:sz w:val="30"/>
                <w:szCs w:val="30"/>
              </w:rPr>
              <w:t xml:space="preserve">0.15%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2"/>
                <w:sz w:val="15"/>
                <w:szCs w:val="15"/>
              </w:rPr>
              <w:t xml:space="preserve">False positive rate</w:t>
            </w:r>
          </w:p>
        </w:tc>
      </w:tr>
    </w:tbl>
    <w:p>
      <w:pPr>
        <w:spacing w:before="280"/>
      </w:pPr>
    </w:p>
    <w:p>
      <w:pPr>
        <w:pStyle w:val="Heading1"/>
        <w:spacing w:after="140" w:before="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TrustRail is a portfolio project demonstrating a complete fraud detection pipeline for mobile money transactions — the kind of system used by platforms like MTN MoMo, OPay, and PalmPay to catch account takeover, SIM-swap fraud, smurfing, and money-mule activity before funds settle.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Because production transaction data isn't available for a portfolio build, the project uses a synthetic dataset engineered to mimic real Nigerian mobile money behavior — including deliberately realistic overlap between legitimate and fraudulent transactions, so the model's performance numbers reflect a genuine precision-recall tradeoff rather than an artificially perfect score.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The result is a gradient-boosted risk model evaluated on operationally meaningful metrics, wired into an interactive case-review console that shows how an analyst would actually work the flagged queue.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The Problem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Mobile money fraud is asymmetric: fraud accounts for roughly 1–2% of transaction volume, but each missed case can mean a customer's entire balance drained in minutes. A usable detection system has to satisfy three competing constraints: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Catch fraud fast enough to intervene before funds are withdrawn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Keep false positives low enough that legitimate customers aren't blocked or delayed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Give analysts a reason for every flag — a raw probability score isn't actionable on its own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Plain accuracy is meaningless here: a model that predicts "not fraud" every single time already scores above 98%. The evaluation approach has to be built around that imbalance from the start.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Approach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The system is built as four stages, each one testable and replaceable independently: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24"/>
          <w:szCs w:val="24"/>
        </w:rPr>
        <w:t xml:space="preserve">1. Synthetic Transaction Ledger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20,000 transactions across 2,000 synthetic users, with four injected fraud patterns: SIM-swap takeover, account takeover, smurfing (structuring under reporting thresholds), and mule-velocity funneling. 30% of fraud cases are deliberately "stealthy" — blending amount, timing, or device signals into the normal range — so the dataset isn't trivially separable.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24"/>
          <w:szCs w:val="24"/>
        </w:rPr>
        <w:t xml:space="preserve">2. Feature Engineering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Rolling per-user and per-recipient windows (1h / 24h / 7d transaction velocity, 30-day amount z-score, device and SIM change flags, recipient account age) computed with strict time-causality — every feature for a transaction is derived only from what happened before it, avoiding lookahead leakage.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24"/>
          <w:szCs w:val="24"/>
        </w:rPr>
        <w:t xml:space="preserve">3. Risk Model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A gradient-boosted tree classifier (XGBoost-class model) trained on a time-based 80/20 split — the model is trained on earlier transactions and tested on later ones, mirroring how it would actually be deployed. Class imbalance is handled with weighted loss rather than naive resampling.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24"/>
          <w:szCs w:val="24"/>
        </w:rPr>
        <w:t xml:space="preserve">4. Explainability Layer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Every flagged transaction surfaces the specific factors that drove its score (e.g. "recipient account is 4 days old," "12x the sender's typical amount"). In this build the explanations are generated with rule-based logic derived from the model's own top features; the planned production version calls the Claude API to render the same reasoning in natural analyst-facing language.</w:t>
      </w:r>
    </w:p>
    <w:p>
      <w:r>
        <w:br w:type="page"/>
      </w:r>
    </w:p>
    <w:p>
      <w:pPr>
        <w:pStyle w:val="Heading1"/>
        <w:spacing w:after="140" w:before="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The Console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TrustRail's front end is a single-page monitoring console: a live scanning ledger showing transactions being scored in real time, model performance panels, and an interactive case-review table.</w:t>
      </w:r>
    </w:p>
    <w:p>
      <w:pPr>
        <w:spacing w:after="0" w:before="160"/>
        <w:jc w:val="center"/>
      </w:pPr>
      <w:r>
        <w:drawing>
          <wp:inline distT="0" distB="0" distL="0" distR="0">
            <wp:extent cx="5852160" cy="32644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onsolas" w:cs="Consolas" w:eastAsia="Consolas" w:hAnsi="Consolas"/>
          <w:color w:val="8A93A3"/>
          <w:sz w:val="16"/>
          <w:szCs w:val="16"/>
        </w:rPr>
        <w:t xml:space="preserve">Live transaction feed and headline model metrics</w:t>
      </w:r>
    </w:p>
    <w:p>
      <w:pPr>
        <w:spacing w:after="0" w:before="160"/>
        <w:jc w:val="center"/>
      </w:pPr>
      <w:r>
        <w:drawing>
          <wp:inline distT="0" distB="0" distL="0" distR="0">
            <wp:extent cx="5852160" cy="27614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onsolas" w:cs="Consolas" w:eastAsia="Consolas" w:hAnsi="Consolas"/>
          <w:color w:val="8A93A3"/>
          <w:sz w:val="16"/>
          <w:szCs w:val="16"/>
        </w:rPr>
        <w:t xml:space="preserve">Precision-recall curve, confusion matrix, and precision@K operating table</w:t>
      </w:r>
    </w:p>
    <w:p>
      <w:pPr>
        <w:spacing w:after="0" w:before="160"/>
        <w:jc w:val="center"/>
      </w:pPr>
      <w:r>
        <w:drawing>
          <wp:inline distT="0" distB="0" distL="0" distR="0">
            <wp:extent cx="5852160" cy="33467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onsolas" w:cs="Consolas" w:eastAsia="Consolas" w:hAnsi="Consolas"/>
          <w:color w:val="8A93A3"/>
          <w:sz w:val="16"/>
          <w:szCs w:val="16"/>
        </w:rPr>
        <w:t xml:space="preserve">Case review: risk gauge and generated risk-factor breakdown for a flagged transaction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Model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Evaluated on a held-out test set of 4,000 transactions (61 actual fraud cases), using metrics chosen for an imbalanced fraud-detection problem rather than plain accuracy: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6324F"/>
          <w:sz w:val="21"/>
          <w:szCs w:val="21"/>
        </w:rPr>
        <w:t xml:space="preserve">Confusion Matrix @ 0.5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116"/>
      </w:tblGrid>
      <w:tr>
        <w:trPr>
          <w:tblHeader/>
        </w:trPr>
        <w:tc>
          <w:tcPr>
            <w:tcW w:type="dxa" w:w="20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15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3116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True Negative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3,933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Legitimate transaction, correctly cleared</w:t>
            </w:r>
          </w:p>
        </w:tc>
      </w:tr>
      <w:tr>
        <w:tc>
          <w:tcPr>
            <w:tcW w:type="dxa" w:w="20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False Positive</w:t>
            </w:r>
          </w:p>
        </w:tc>
        <w:tc>
          <w:tcPr>
            <w:tcW w:type="dxa" w:w="15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6</w:t>
            </w:r>
          </w:p>
        </w:tc>
        <w:tc>
          <w:tcPr>
            <w:tcW w:type="dxa" w:w="311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Legitimate transaction, incorrectly flagged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False Negative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3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Fraud transaction, missed by the model</w:t>
            </w:r>
          </w:p>
        </w:tc>
      </w:tr>
      <w:tr>
        <w:tc>
          <w:tcPr>
            <w:tcW w:type="dxa" w:w="20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True Positive</w:t>
            </w:r>
          </w:p>
        </w:tc>
        <w:tc>
          <w:tcPr>
            <w:tcW w:type="dxa" w:w="15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58</w:t>
            </w:r>
          </w:p>
        </w:tc>
        <w:tc>
          <w:tcPr>
            <w:tcW w:type="dxa" w:w="311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Fraud transaction, correctly caught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24F"/>
          <w:sz w:val="21"/>
          <w:szCs w:val="21"/>
        </w:rPr>
        <w:t xml:space="preserve">Precision @ Top-K% Flagged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This is the operational view: if analysts can only review a fixed share of transactions, how much fraud gets caught?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626"/>
        <w:gridCol w:w="1624"/>
        <w:gridCol w:w="1624"/>
      </w:tblGrid>
      <w:tr>
        <w:trPr>
          <w:tblHeader/>
        </w:trPr>
        <w:tc>
          <w:tcPr>
            <w:tcW w:type="dxa" w:w="1626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Top K%</w:t>
            </w:r>
          </w:p>
        </w:tc>
        <w:tc>
          <w:tcPr>
            <w:tcW w:type="dxa" w:w="1626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Txns Reviewed</w:t>
            </w:r>
          </w:p>
        </w:tc>
        <w:tc>
          <w:tcPr>
            <w:tcW w:type="dxa" w:w="1624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624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</w:tr>
      <w:tr>
        <w:tc>
          <w:tcPr>
            <w:tcW w:type="dxa" w:w="1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0.5%</w:t>
            </w:r>
          </w:p>
        </w:tc>
        <w:tc>
          <w:tcPr>
            <w:tcW w:type="dxa" w:w="1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20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100.0%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32.8%</w:t>
            </w:r>
          </w:p>
        </w:tc>
      </w:tr>
      <w:tr>
        <w:tc>
          <w:tcPr>
            <w:tcW w:type="dxa" w:w="162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1%</w:t>
            </w:r>
          </w:p>
        </w:tc>
        <w:tc>
          <w:tcPr>
            <w:tcW w:type="dxa" w:w="162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40</w:t>
            </w:r>
          </w:p>
        </w:tc>
        <w:tc>
          <w:tcPr>
            <w:tcW w:type="dxa" w:w="1624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100.0%</w:t>
            </w:r>
          </w:p>
        </w:tc>
        <w:tc>
          <w:tcPr>
            <w:tcW w:type="dxa" w:w="1624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65.6%</w:t>
            </w:r>
          </w:p>
        </w:tc>
      </w:tr>
      <w:tr>
        <w:tc>
          <w:tcPr>
            <w:tcW w:type="dxa" w:w="1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2%</w:t>
            </w:r>
          </w:p>
        </w:tc>
        <w:tc>
          <w:tcPr>
            <w:tcW w:type="dxa" w:w="1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80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75.0%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98.4%</w:t>
            </w:r>
          </w:p>
        </w:tc>
      </w:tr>
      <w:tr>
        <w:tc>
          <w:tcPr>
            <w:tcW w:type="dxa" w:w="162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5%</w:t>
            </w:r>
          </w:p>
        </w:tc>
        <w:tc>
          <w:tcPr>
            <w:tcW w:type="dxa" w:w="162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200</w:t>
            </w:r>
          </w:p>
        </w:tc>
        <w:tc>
          <w:tcPr>
            <w:tcW w:type="dxa" w:w="1624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30.5%</w:t>
            </w:r>
          </w:p>
        </w:tc>
        <w:tc>
          <w:tcPr>
            <w:tcW w:type="dxa" w:w="1624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100.0%</w:t>
            </w:r>
          </w:p>
        </w:tc>
      </w:tr>
      <w:tr>
        <w:tc>
          <w:tcPr>
            <w:tcW w:type="dxa" w:w="1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10%</w:t>
            </w:r>
          </w:p>
        </w:tc>
        <w:tc>
          <w:tcPr>
            <w:tcW w:type="dxa" w:w="1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400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15.3%</w:t>
            </w:r>
          </w:p>
        </w:tc>
        <w:tc>
          <w:tcPr>
            <w:tcW w:type="dxa" w:w="162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100.0%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24F"/>
          <w:sz w:val="21"/>
          <w:szCs w:val="21"/>
        </w:rPr>
        <w:t xml:space="preserve">Top Features by Permutation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3016"/>
      </w:tblGrid>
      <w:tr>
        <w:trPr>
          <w:tblHeader/>
        </w:trPr>
        <w:tc>
          <w:tcPr>
            <w:tcW w:type="dxa" w:w="23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3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Importance</w:t>
            </w:r>
          </w:p>
        </w:tc>
        <w:tc>
          <w:tcPr>
            <w:tcW w:type="dxa" w:w="3016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recipient_account_age_days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0.588</w:t>
            </w:r>
          </w:p>
        </w:tc>
        <w:tc>
          <w:tcPr>
            <w:tcW w:type="dxa" w:w="30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How new the money's destination account is</w:t>
            </w:r>
          </w:p>
        </w:tc>
      </w:tr>
      <w:tr>
        <w:tc>
          <w:tcPr>
            <w:tcW w:type="dxa" w:w="23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amount_vs_user_avg_ratio</w:t>
            </w:r>
          </w:p>
        </w:tc>
        <w:tc>
          <w:tcPr>
            <w:tcW w:type="dxa" w:w="13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0.356</w:t>
            </w:r>
          </w:p>
        </w:tc>
        <w:tc>
          <w:tcPr>
            <w:tcW w:type="dxa" w:w="301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How far the amount is from the sender's own norm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time_since_last_txn_min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0.173</w:t>
            </w:r>
          </w:p>
        </w:tc>
        <w:tc>
          <w:tcPr>
            <w:tcW w:type="dxa" w:w="30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Speed of repeat activity on the account</w:t>
            </w:r>
          </w:p>
        </w:tc>
      </w:tr>
      <w:tr>
        <w:tc>
          <w:tcPr>
            <w:tcW w:type="dxa" w:w="23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is_new_device</w:t>
            </w:r>
          </w:p>
        </w:tc>
        <w:tc>
          <w:tcPr>
            <w:tcW w:type="dxa" w:w="1300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0.036</w:t>
            </w:r>
          </w:p>
        </w:tc>
        <w:tc>
          <w:tcPr>
            <w:tcW w:type="dxa" w:w="3016"/>
            <w:shd w:fill="ED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Whether the sending device is recognized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txn_count_last_24h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0.023</w:t>
            </w:r>
          </w:p>
        </w:tc>
        <w:tc>
          <w:tcPr>
            <w:tcW w:type="dxa" w:w="30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Transaction velocity in the past day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E"/>
          <w:sz w:val="21"/>
          <w:szCs w:val="21"/>
        </w:rPr>
        <w:t xml:space="preserve">Notably, where the money is going and how it compares to the sender's own history matter far more than raw transaction amount or device signals alone — a finding that should inform where future feature engineering effort goes.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All data is synthetic — no real mobile money platform data was used or is claimed to be represented here.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The mule-detection network feature (unique senders to a recipient) shows limited signal in the current dataset and needs a longer-horizon graph feature to properly capture collusion patterns.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The explainability layer uses rule-based text generation as a stand-in; the Claude API integration for natural-language analyst notes is planned but not yet built.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A perfect or near-perfect score on an earlier version of this dataset was treated as a red flag, not a result — the fraud generator was deliberately made noisier to produce a defensible, realistic precision/recall tradeoff.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Technical Stack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Data generation &amp; feature engineering: Python, pandas, numpy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Model: gradient-boosted trees (XGBoost-class), scikit-learn for evaluation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Explainability (planned): Claude API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4292E"/>
          <w:sz w:val="21"/>
          <w:szCs w:val="21"/>
        </w:rPr>
        <w:t xml:space="preserve">Console: single-file HTML/CSS/JS, no build step or server dependency</w:t>
      </w:r>
    </w:p>
    <w:sectPr>
      <w:headerReference w:type="default" r:id="rId7"/>
      <w:footerReference w:type="default" r:id="rId8"/>
      <w:pgSz w:w="12240" w:h="15840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8A93A3"/>
        <w:sz w:val="14"/>
        <w:szCs w:val="14"/>
      </w:rPr>
      <w:t xml:space="preserve">TrustRail Solution Brief   ·   Page </w:t>
    </w:r>
    <w:r>
      <w:rPr>
        <w:rFonts w:ascii="Consolas" w:cs="Consolas" w:eastAsia="Consolas" w:hAnsi="Consolas"/>
        <w:color w:val="8A93A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8A93A3"/>
        <w:sz w:val="14"/>
        <w:szCs w:val="14"/>
      </w:rPr>
      <w:t xml:space="preserve"> of </w:t>
    </w:r>
    <w:r>
      <w:rPr>
        <w:rFonts w:ascii="Consolas" w:cs="Consolas" w:eastAsia="Consolas" w:hAnsi="Consolas"/>
        <w:color w:val="8A93A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4" w:space="4"/>
      </w:pBdr>
    </w:pPr>
    <w:r>
      <w:rPr>
        <w:rFonts w:ascii="Consolas" w:cs="Consolas" w:eastAsia="Consolas" w:hAnsi="Consolas"/>
        <w:b/>
        <w:bCs/>
        <w:color w:val="16324F"/>
        <w:spacing w:val="10"/>
        <w:sz w:val="15"/>
        <w:szCs w:val="15"/>
      </w:rPr>
      <w:t xml:space="preserve">TRUSTRAIL</w:t>
    </w:r>
    <w:r>
      <w:rPr>
        <w:rFonts w:ascii="Consolas" w:cs="Consolas" w:eastAsia="Consolas" w:hAnsi="Consolas"/>
        <w:color w:val="8A93A3"/>
        <w:sz w:val="15"/>
        <w:szCs w:val="15"/>
      </w:rPr>
      <w:t xml:space="preserve">   ·   Fraud Intelligence — Solution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416eca01899bb8af59bf4967439da86c5cb002.png"/><Relationship Id="rId10" Type="http://schemas.openxmlformats.org/officeDocument/2006/relationships/image" Target="media/954b9adf53e074c31a22f12d47d209843db8801b.png"/><Relationship Id="rId11" Type="http://schemas.openxmlformats.org/officeDocument/2006/relationships/image" Target="media/ee06c6913f2e65e62cea2eafc958a55033889d4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2026-07-29T06:40:57.255Z</dcterms:created>
  <dcterms:modified xsi:type="dcterms:W3CDTF">2026-07-29T06:40:57.269Z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