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2E" w:rsidRDefault="00F928C6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0"/>
          <w:szCs w:val="40"/>
        </w:rPr>
        <w:t>Benchmarking AlphaFold-enabled molecular docking predictions for antibiotic discovery</w:t>
      </w:r>
    </w:p>
    <w:p w:rsidR="00D9372E" w:rsidRDefault="00F928C6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“Drug Development Track”</w:t>
      </w:r>
    </w:p>
    <w:p w:rsidR="00D9372E" w:rsidRDefault="00F928C6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Authors: Jana Moussa, Babatunde OWOLOYE, Habiba Sherif, youssif Mohamed.</w:t>
      </w:r>
    </w:p>
    <w:p w:rsidR="00D9372E" w:rsidRDefault="00D9372E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</w:p>
    <w:p w:rsidR="00D9372E" w:rsidRDefault="00F928C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Introduction </w:t>
      </w:r>
    </w:p>
    <w:p w:rsidR="00D9372E" w:rsidRDefault="00F928C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Drug discovery has evolved from biochemical assays and genetic interactions to molecular docking, a new approach that predicts drug-target interactions. Researchers used reverse docking to discover new drug mechanisms, but the AlphaFold2 protein structure </w:t>
      </w:r>
      <w:r>
        <w:rPr>
          <w:rFonts w:ascii="Calibri" w:eastAsia="Calibri" w:hAnsi="Calibri" w:cs="Calibri"/>
          <w:sz w:val="24"/>
          <w:szCs w:val="24"/>
        </w:rPr>
        <w:t>database solved this limitation. They predicted protein-ligand interactions between 218 antibacterial compounds and 296 essential E. coli proteins. Experimental validation confirmed some predictions, but simulations showed weak model accuracy. To improve d</w:t>
      </w:r>
      <w:r>
        <w:rPr>
          <w:rFonts w:ascii="Calibri" w:eastAsia="Calibri" w:hAnsi="Calibri" w:cs="Calibri"/>
          <w:sz w:val="24"/>
          <w:szCs w:val="24"/>
        </w:rPr>
        <w:t>ocking performance, machine learning-based scoring functions were incorporated.</w:t>
      </w:r>
    </w:p>
    <w:p w:rsidR="00D9372E" w:rsidRDefault="00D9372E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9372E" w:rsidRDefault="00F928C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Methodology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high-throughput screening of 39,128 compounds was conducted against </w:t>
      </w:r>
      <w:r>
        <w:rPr>
          <w:rFonts w:ascii="Calibri" w:eastAsia="Calibri" w:hAnsi="Calibri" w:cs="Calibri"/>
          <w:i/>
          <w:sz w:val="24"/>
          <w:szCs w:val="24"/>
        </w:rPr>
        <w:t>E. coli</w:t>
      </w:r>
      <w:r>
        <w:rPr>
          <w:rFonts w:ascii="Calibri" w:eastAsia="Calibri" w:hAnsi="Calibri" w:cs="Calibri"/>
          <w:sz w:val="24"/>
          <w:szCs w:val="24"/>
        </w:rPr>
        <w:t xml:space="preserve"> K-12 BW25113, identifying 218 active antibacterial compounds.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study utilised 29</w:t>
      </w:r>
      <w:r>
        <w:rPr>
          <w:rFonts w:ascii="Calibri" w:eastAsia="Calibri" w:hAnsi="Calibri" w:cs="Calibri"/>
          <w:sz w:val="24"/>
          <w:szCs w:val="24"/>
        </w:rPr>
        <w:t xml:space="preserve">6 essential proteins predicted by AlphaFold2 for reverse docking.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active compounds were then docked using AutoDock Vina, resulting in predictions for 64,528 protein-ligand interactions.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set of 100 inactive compounds was also docked for comparison.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predicted interactions were validated through enzymatic activity measurements for 12 essential proteins, confirming extensive promiscuity among the compounds.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 performance was evaluated by calculating the area under the receiver operating charac</w:t>
      </w:r>
      <w:r>
        <w:rPr>
          <w:rFonts w:ascii="Calibri" w:eastAsia="Calibri" w:hAnsi="Calibri" w:cs="Calibri"/>
          <w:sz w:val="24"/>
          <w:szCs w:val="24"/>
        </w:rPr>
        <w:t xml:space="preserve">teristic curve (auROC), which averaged 0.48, indicating weak predictive capability. </w:t>
      </w:r>
    </w:p>
    <w:p w:rsidR="00D9372E" w:rsidRDefault="00F928C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Machine learning-based scoring functions were integrated, enhancing the performance</w:t>
      </w:r>
    </w:p>
    <w:p w:rsidR="00D9372E" w:rsidRDefault="00F928C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401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372E" w:rsidRDefault="00F928C6">
      <w:pPr>
        <w:ind w:left="72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Figure 1: Predicting Protein-Ligand Interactions Using AlphaFold2 and Molecular Docking and integrating machine learning. </w:t>
      </w:r>
    </w:p>
    <w:p w:rsidR="00D9372E" w:rsidRDefault="00D9372E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9372E" w:rsidRDefault="00F928C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Results</w:t>
      </w:r>
    </w:p>
    <w:p w:rsidR="00D9372E" w:rsidRDefault="00F928C6">
      <w:pPr>
        <w:widowControl w:val="0"/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study identified 218 active compounds, from known antibiotic structural classes, with some new antibacterial compounds e</w:t>
      </w:r>
      <w:r>
        <w:rPr>
          <w:rFonts w:ascii="Calibri" w:eastAsia="Calibri" w:hAnsi="Calibri" w:cs="Calibri"/>
          <w:sz w:val="24"/>
          <w:szCs w:val="24"/>
        </w:rPr>
        <w:t xml:space="preserve">ffective against </w:t>
      </w:r>
      <w:r>
        <w:rPr>
          <w:rFonts w:ascii="Calibri" w:eastAsia="Calibri" w:hAnsi="Calibri" w:cs="Calibri"/>
          <w:i/>
          <w:sz w:val="24"/>
          <w:szCs w:val="24"/>
        </w:rPr>
        <w:t>E. coli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9372E" w:rsidRDefault="00F928C6">
      <w:pPr>
        <w:widowControl w:val="0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Promiscuity was observed, with 187 active compounds predicted to bind to at least three proteins, and 178 essential proteins expected to interact with at least three compounds.</w:t>
      </w:r>
    </w:p>
    <w:p w:rsidR="00D9372E" w:rsidRDefault="00F928C6">
      <w:pPr>
        <w:widowControl w:val="0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Molecular docking using AlphaFold2-predicted structur</w:t>
      </w:r>
      <w:r>
        <w:rPr>
          <w:rFonts w:ascii="Calibri" w:eastAsia="Calibri" w:hAnsi="Calibri" w:cs="Calibri"/>
          <w:sz w:val="24"/>
          <w:szCs w:val="24"/>
        </w:rPr>
        <w:t>es resulted in an average auROC of 0.48, slightly better than random guessing.</w:t>
      </w:r>
    </w:p>
    <w:p w:rsidR="00D9372E" w:rsidRDefault="00F928C6">
      <w:pPr>
        <w:widowControl w:val="0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True-positive rates were 59% at a −5 kcal/mol threshold and 30% at a −7 kcal/mol threshold, with average accuracies of 41% and 73%, respectively.</w:t>
      </w:r>
    </w:p>
    <w:p w:rsidR="00D9372E" w:rsidRDefault="00F928C6">
      <w:pPr>
        <w:widowControl w:val="0"/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 performance improved with an auROC of 0.63, performing better than random for 9 out of 12 essential proteins at the −7 kcal/mol threshold.</w:t>
      </w:r>
    </w:p>
    <w:p w:rsidR="00D9372E" w:rsidRDefault="00D9372E">
      <w:pPr>
        <w:widowControl w:val="0"/>
        <w:spacing w:before="172"/>
        <w:jc w:val="both"/>
        <w:rPr>
          <w:rFonts w:ascii="Calibri" w:eastAsia="Calibri" w:hAnsi="Calibri" w:cs="Calibri"/>
          <w:sz w:val="24"/>
          <w:szCs w:val="24"/>
        </w:rPr>
      </w:pPr>
    </w:p>
    <w:p w:rsidR="00D9372E" w:rsidRDefault="00F928C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Discussion</w:t>
      </w:r>
    </w:p>
    <w:p w:rsidR="00D9372E" w:rsidRDefault="00F928C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study covered the challenges of predicting protein-ligand interactions using molecular docking,</w:t>
      </w:r>
      <w:r>
        <w:rPr>
          <w:rFonts w:ascii="Calibri" w:eastAsia="Calibri" w:hAnsi="Calibri" w:cs="Calibri"/>
          <w:sz w:val="24"/>
          <w:szCs w:val="24"/>
        </w:rPr>
        <w:t xml:space="preserve"> especially with AlphaFold2-predicted protein structures. Even after identifying 218 active antibacterial compounds and docking them to 296 essential proteins, the initial docking model produced weak results. The experimental validation confirmed large pro</w:t>
      </w:r>
      <w:r>
        <w:rPr>
          <w:rFonts w:ascii="Calibri" w:eastAsia="Calibri" w:hAnsi="Calibri" w:cs="Calibri"/>
          <w:sz w:val="24"/>
          <w:szCs w:val="24"/>
        </w:rPr>
        <w:t>miscuity among the compounds, but the model's accuracy was limited. However, the integration of machine learning-based rescoring functions significantly improved prediction accuracy, showcasing the potential for machine learning to enhance computational me</w:t>
      </w:r>
      <w:r>
        <w:rPr>
          <w:rFonts w:ascii="Calibri" w:eastAsia="Calibri" w:hAnsi="Calibri" w:cs="Calibri"/>
          <w:sz w:val="24"/>
          <w:szCs w:val="24"/>
        </w:rPr>
        <w:t>thods in drug discovery.</w:t>
      </w:r>
    </w:p>
    <w:p w:rsidR="00D9372E" w:rsidRDefault="00D9372E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9372E" w:rsidRDefault="00F928C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Conclusion</w:t>
      </w:r>
    </w:p>
    <w:p w:rsidR="00D9372E" w:rsidRDefault="00F928C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AlphaFold's potential in antibiotic discovery is significant, but more development and integration with other tools and techniques are needed for its full potential.</w:t>
      </w:r>
    </w:p>
    <w:p w:rsidR="00D9372E" w:rsidRDefault="00D9372E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9372E" w:rsidRDefault="00F928C6">
      <w:pPr>
        <w:jc w:val="both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References </w:t>
      </w:r>
    </w:p>
    <w:p w:rsidR="00D9372E" w:rsidRDefault="00F928C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Wong, F., Krishnan, A., Zheng, E. J., Stärk, H., Manson, A. L., Earl, A. M., Jaakkola, T., &amp; Collins, J. J. (2022). Benchmarking AlphaFold-enabled molecular docking predictions for antibiotic discovery. </w:t>
      </w:r>
      <w:r>
        <w:rPr>
          <w:rFonts w:ascii="Calibri" w:eastAsia="Calibri" w:hAnsi="Calibri" w:cs="Calibri"/>
          <w:i/>
          <w:color w:val="212121"/>
          <w:sz w:val="24"/>
          <w:szCs w:val="24"/>
          <w:highlight w:val="white"/>
        </w:rPr>
        <w:t>Molecular systems biology</w:t>
      </w:r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i/>
          <w:color w:val="212121"/>
          <w:sz w:val="24"/>
          <w:szCs w:val="24"/>
          <w:highlight w:val="white"/>
        </w:rPr>
        <w:t>18</w:t>
      </w:r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(9), e11081.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https://doi.org/10.15252/msb.202211081</w:t>
        </w:r>
      </w:hyperlink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 </w:t>
      </w:r>
    </w:p>
    <w:p w:rsidR="00D9372E" w:rsidRDefault="00D9372E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sectPr w:rsidR="00D937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27F83"/>
    <w:multiLevelType w:val="multilevel"/>
    <w:tmpl w:val="44F62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260B99"/>
    <w:multiLevelType w:val="multilevel"/>
    <w:tmpl w:val="4BEE8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2E"/>
    <w:rsid w:val="0025585A"/>
    <w:rsid w:val="00D9372E"/>
    <w:rsid w:val="00F9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A06BD-988D-4F63-845A-1487B63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252/msb.20221108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Owoloye Babatunde</dc:creator>
  <cp:lastModifiedBy>hp</cp:lastModifiedBy>
  <cp:revision>2</cp:revision>
  <dcterms:created xsi:type="dcterms:W3CDTF">2024-09-07T10:38:00Z</dcterms:created>
  <dcterms:modified xsi:type="dcterms:W3CDTF">2024-09-07T10:38:00Z</dcterms:modified>
</cp:coreProperties>
</file>