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Defensive 100 - Trend Micro CTF Writeup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Defensive 100 was a medium 100 point reverse engineering challenge that was part of the 2015 CTF organized by the Japanese security firm Trend Micro. </w:t>
      </w:r>
      <w:r w:rsidDel="00000000" w:rsidR="00000000" w:rsidRPr="00000000">
        <w:rPr>
          <w:rtl w:val="0"/>
        </w:rPr>
        <w:t xml:space="preserve">This writeup was made possible using resources from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CTF Wiki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well as an external writeup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Capture The Swag</w:t>
        </w:r>
      </w:hyperlink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Although I did not personally participate in the CTF I found this problem to share a few similarities with malware out in the real world.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color w:val="333333"/>
          <w:highlight w:val="white"/>
          <w:rtl w:val="0"/>
        </w:rPr>
        <w:t xml:space="preserve">Retrieve the flag from the binary.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We’ll be using several tools to solve this challenege.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tfs/write-ups-2015/tree/master/trend-micro-ctf-2015/analysis/defensive-100" TargetMode="External"/><Relationship Id="rId6" Type="http://schemas.openxmlformats.org/officeDocument/2006/relationships/hyperlink" Target="http://capturetheswag.blogspot.com.au/2015/09/trend-micro-ctf-vonn-analysis-defensive.html" TargetMode="External"/></Relationships>
</file>