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psis-protocol"/>
    <w:p>
      <w:pPr>
        <w:pStyle w:val="Heading1"/>
      </w:pPr>
      <w:r>
        <w:t xml:space="preserve">Sepsis protocol</w:t>
      </w:r>
    </w:p>
    <w:bookmarkStart w:id="20" w:name="when-to-screen"/>
    <w:p>
      <w:pPr>
        <w:pStyle w:val="Heading2"/>
      </w:pPr>
      <w:r>
        <w:t xml:space="preserve">When to screen</w:t>
      </w:r>
    </w:p>
    <w:p>
      <w:pPr>
        <w:pStyle w:val="FirstParagraph"/>
      </w:pPr>
      <w:r>
        <w:t xml:space="preserve">Screen every adult inpatient when NEWS2 is 5 or more, or a single parameter scores 3.</w:t>
      </w:r>
    </w:p>
    <w:bookmarkEnd w:id="20"/>
    <w:bookmarkStart w:id="21" w:name="escalation"/>
    <w:p>
      <w:pPr>
        <w:pStyle w:val="Heading2"/>
      </w:pPr>
      <w:r>
        <w:t xml:space="preserve">Escalation</w:t>
      </w:r>
    </w:p>
    <w:p>
      <w:pPr>
        <w:pStyle w:val="FirstParagraph"/>
      </w:pPr>
      <w:r>
        <w:t xml:space="preserve">Call critical care outreach on extension 4410 if lactate is above 4 mmol/L.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2026-10-05T20:21:42Z</dcterms:created>
  <dcterms:modified xsi:type="dcterms:W3CDTF">2026-10-05T20:21:42Z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