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基于物理结构约束的知识图谱社区检测方法及其在检索增强生成中的应用</w:t>
      </w:r>
    </w:p>
    <w:p>
      <w:pPr>
        <w:jc w:val="center"/>
      </w:pPr>
      <w:r>
        <w:rPr>
          <w:sz w:val="28"/>
        </w:rPr>
        <w:t>——面向微观问题精准回答的 GraphRAG 改进研究</w:t>
      </w:r>
    </w:p>
    <w:p>
      <w:pPr/>
      <w:r>
        <w:rPr>
          <w:b/>
        </w:rPr>
        <w:t>学位论文</w:t>
      </w:r>
    </w:p>
    <w:p>
      <w:pPr/>
      <w:r>
        <w:t>学科专业：计算机科学与技术</w:t>
      </w:r>
    </w:p>
    <w:p>
      <w:pPr>
        <w:pStyle w:val="Heading1"/>
      </w:pPr>
      <w:r>
        <w:t>摘要</w:t>
      </w:r>
    </w:p>
    <w:p>
      <w:pPr/>
      <w:r>
        <w:t>基于知识图谱的检索增强生成（GraphRAG）通过 Leiden 社区检测将实体图划分为层次化社区，并以社区摘要作为检索单元，在全局性问答任务上取得了显著效果。然而，Leiden 算法的目标函数仅优化图拓扑模块度，完全忽略了实体节点的物理文档来源，导致底层社区内的实体混杂来自不相关的段落，社区摘要缺乏主题聚焦性，微观问题的精确回答受到制约。</w:t>
      </w:r>
    </w:p>
    <w:p>
      <w:pPr/>
      <w:r>
        <w:t>本文提出 SP-GraphRAG（Structural-entropy Penalized GraphRAG），在 Leiden 的目标函数中引入物理来源分布的 Shannon 熵惩罚项，将优化目标从纯模块度最大化扩展为联合目标 $J = Q - \lambda \cdot H$。其中 $H$ 度量社区内节点物理来源的混杂程度，$\lambda$ 为惩罚强度系数，通过指数退火策略随层次衰减，使底层社区保持物理来源纯净、高层社区允许跨文档语义合并。为解决原始图退化为句内孤岛导致约束失效的工程问题，本文设计了 EdgeSchedule 机制，通过量级分析确定边权重，在保证合并可行性的同时使结构熵约束真正参与决策。</w:t>
      </w:r>
    </w:p>
    <w:p>
      <w:pPr/>
      <w:r>
        <w:t>在 MultiHop-RAG 数据集（609 篇新闻文章，2556 条多跳问答对）上的系统实验表明：（1）约束有效且可控——全局平均结构熵随 $\lambda$ 单调递减，Level-0 社区物理来源纯净率达 100%；（2）检索和回答精度显著提升——在相同管线框架下，SP-GraphRAG 相比原版 GraphRAG 的 MRR 提升均值为 +0.052，95% 配对 Bootstrap CI 为 [+0.024, +0.080]，完全不包含零，差异具有统计显著性；端到端问答 Exact Match 提升 +39.8%；（3）问题类型选择性——时序类问题（+20.9%，p &lt; 0.05）和对比类问题（+10.8%，p &lt; 0.05）获得显著改善，推理类问题无显著变化，与物理约束有利于局部精确检索的设计意图一致；（4）传导机制可验证——约束 Leiden 从 LLM 摘要中获得的检索收益（+10.9%）是标准 Leiden（+2.8%）的 3.9 倍，有力支持了"物理纯净社区→更连贯摘要→向量检索更准"的因果链假设。</w:t>
      </w:r>
    </w:p>
    <w:p>
      <w:pPr/>
      <w:r>
        <w:rPr>
          <w:b/>
        </w:rPr>
        <w:t>关键词</w:t>
      </w:r>
      <w:r>
        <w:t>：检索增强生成；知识图谱；社区检测；结构熵；物理结构约束；Leiden 算法</w:t>
      </w:r>
    </w:p>
    <w:p>
      <w:pPr>
        <w:pStyle w:val="Heading1"/>
      </w:pPr>
      <w:r>
        <w:t>Abstract</w:t>
      </w:r>
    </w:p>
    <w:p>
      <w:pPr/>
      <w:r>
        <w:t>Graph-based Retrieval-Augmented Generation (GraphRAG) partitions entity graphs into hierarchical communities via Leiden community detection and uses community summaries as retrieval units, achieving remarkable performance on global question-answering tasks. However, Leiden's objective function solely optimizes topological modularity while completely ignoring the physical document provenance of entity nodes. This leads to bottom-level communities mixing entities from unrelated paragraphs, producing unfocused community summaries that impair precise micro-level question answering.</w:t>
      </w:r>
    </w:p>
    <w:p>
      <w:pPr/>
      <w:r>
        <w:t>This thesis proposes SP-GraphRAG (Structural-entropy Penalized GraphRAG), which introduces a Shannon entropy penalty on physical source distribution into Leiden's objective function, extending the optimization target from pure modularity maximization to a joint objective $J = Q - \lambda \cdot H$, where $H$ measures the physical source heterogeneity within communities. An exponential annealing schedule decays $\lambda$ across hierarchy levels, ensuring bottom-level community physical purity while preserving cross-document semantic merging at higher levels. To address the degenerate case where the original graph collapses into intra-sentence islands rendering the constraint ineffective, we design an EdgeSchedule mechanism that injects weighted same-name entity edges calibrated through order-of-magnitude analysis.</w:t>
      </w:r>
    </w:p>
    <w:p>
      <w:pPr/>
      <w:r>
        <w:t>Systematic experiments on the MultiHop-RAG dataset (609 articles, 2,556 multi-hop QA pairs) demonstrate: (1) the constraint is effective and controllable—global average structural entropy decreases monotonically with $\lambda$, and Level-0 community physical purity reaches 100%; (2) retrieval and answer accuracy improve significantly—under the same pipeline, SP-GraphRAG achieves a paired Bootstrap mean MRR improvement of +0.052 with 95% CI [+0.024, +0.080] excluding zero; end-to-end Exact Match improves by +39.8%; (3) selective improvement by question type—temporal queries (+20.9%, p &lt; 0.05) and comparison queries (+10.8%, p &lt; 0.05) benefit significantly, while inference queries show no significant change; (4) the conduction mechanism is verifiable—constrained Leiden achieves 3.9× greater retrieval gain from LLM summaries compared to standard Leiden.</w:t>
      </w:r>
    </w:p>
    <w:p>
      <w:pPr/>
      <w:r>
        <w:rPr>
          <w:b/>
        </w:rPr>
        <w:t>Keywords</w:t>
      </w:r>
      <w:r>
        <w:t>: Retrieval-Augmented Generation; Knowledge Graph; Community Detection; Structural Entropy; Physical Structure Constraint; Leiden Algorithm</w:t>
      </w:r>
    </w:p>
    <w:p>
      <w:pPr>
        <w:pStyle w:val="Heading1"/>
      </w:pPr>
      <w:r>
        <w:t>第一章 绪论</w:t>
      </w:r>
    </w:p>
    <w:p>
      <w:pPr>
        <w:pStyle w:val="Heading2"/>
      </w:pPr>
      <w:r>
        <w:t>1.1 研究背景</w:t>
      </w:r>
    </w:p>
    <w:p>
      <w:pPr/>
      <w:r>
        <w:t>大型语言模型（Large Language Model，LLM）凭借其卓越的自然语言理解和生成能力，在问答、摘要、代码生成等任务上取得了突破性进展。然而，LLM 存在两个根本性局限：其一，训练数据的截止时间导致模型无法获取最新知识；其二，模型在回答超出训练分布的问题时容易产生"幻觉"（hallucination），即生成听起来合理但事实错误的内容。这两个局限严重制约了 LLM 在知识密集型任务中的可靠应用，尤其是在法律、医疗、金融等对事实准确性要求极高的领域。</w:t>
      </w:r>
    </w:p>
    <w:p>
      <w:pPr/>
      <w:r>
        <w:t>检索增强生成（Retrieval-Augmented Generation，RAG）通过在生成时动态检索外部知识库来缓解上述问题。传统 RAG 的核心思想是将文档切分为固定长度的文本块，利用向量相似度检索最相关的文本块，再将其作为上下文输入 LLM 生成答案。Lewis 等人于 2020 年在 NeurIPS 上系统化提出了这一范式，标志着知识增强型语言模型研究的重要里程碑。传统 RAG 对于单跳的局部性问题（如"某公司的创始人是谁"）效果良好，但面对需要跨多个文档综合推理的全局性问题（如"这批新闻报道的主要议题是什么"或"哪些事件在时间上存在因果关联"）时力不从心。这是因为固定长度文本块的切分方式破坏了文档的语义完整性，而基于局部相似度的检索无法建立跨文档的语义关联。</w:t>
      </w:r>
    </w:p>
    <w:p>
      <w:pPr/>
      <w:r>
        <w:t>为解决传统 RAG 在全局推理上的局限，Edge 等人于 2024 年提出了 GraphRAG。GraphRAG 将 RAG 与知识图谱相结合，其核心管线包含四个步骤：（1）使用 LLM 从文本中抽取实体和关系，构建知识图谱；（2）对知识图谱运行 Leiden 社区检测算法，将实体划分为层次化社区；（3）为每个社区生成 LLM 摘要报告；（4）查询时通过社区摘要进行 map-reduce 式全局问答。这一框架在全局性问答任务上取得了显著效果，成为 2024 年 RAG 领域最具影响力的工作之一。GraphRAG 的创新在于将社区检测引入检索框架，通过层次化的社区结构组织知识，使系统能够在不同粒度上回答从局部到全局的各类问题。</w:t>
      </w:r>
    </w:p>
    <w:p>
      <w:pPr/>
      <w:r>
        <w:t>然而，GraphRAG 管线在处理微观精确问题时仍存在不足。微观问题是指需要精确定位到特定段落或句子级别细节的问题（如"某公司在 2023 年第三季度的具体营收是多少"），此类问题要求检索系统能够精确地将查询对齐到包含答案的原始文本位置。GraphRAG 的社区检测步骤——Leiden 算法——在这一场景下存在根本性的局限，这正是本文研究的出发点。</w:t>
      </w:r>
    </w:p>
    <w:p>
      <w:pPr>
        <w:pStyle w:val="Heading2"/>
      </w:pPr>
      <w:r>
        <w:t>1.2 问题定义：社区检测的物理盲目性</w:t>
      </w:r>
    </w:p>
    <w:p>
      <w:pPr/>
      <w:r>
        <w:t>GraphRAG 管线的核心步骤——Leiden 社区检测——存在一个根本性局限：</w:t>
      </w:r>
      <w:r>
        <w:rPr>
          <w:b/>
        </w:rPr>
        <w:t>物理盲目性</w:t>
      </w:r>
      <w:r>
        <w:t>（physical blindness）。Leiden 算法通过最大化模块度 $Q$ 来划分社区，模块度衡量的是社区内部边密度相对于随机图的超出程度。这一优化目标完全基于图的拓扑结构，对节点的物理来源信息（即每个实体节点来自哪篇文档、哪个段落、哪个句子）一无所知。</w:t>
      </w:r>
    </w:p>
    <w:p>
      <w:pPr/>
      <w:r>
        <w:t>具体而言，知识图谱中的每个实体节点都有其物理出处——它来自语料库中某篇文档的某个段落的某个句子。在标准 GraphRAG 中，这一物理出处信息在实体抽取阶段即被抛弃，Leiden 算法在此后的社区划分中无从利用。其直接后果是：底层社区（最细粒度的检索单元）可能包含来自十几篇不同文档、数十个不同段落的实体，这些实体在图拓扑上紧密相连（因为在文本中频繁共现），但在物理来源上高度混杂。</w:t>
      </w:r>
    </w:p>
    <w:p>
      <w:pPr/>
      <w:r>
        <w:t>这种物理来源混杂性引发了三方面的实际问题。第一，社区摘要连贯性下降。当 LLM 为一个混杂社区生成摘要时，输入信息来自多个不相关的段落，摘要往往缺乏主题聚焦性，难以在语义空间中与具体查询精确对齐。第二，微观检索精度受限。使用向量检索在社区摘要上进行相似度匹配时，主题分散的摘要与具体微观查询的对齐精度下降，导致微观问题（如"某公司在某季度的具体营收数字是多少"）的检索精度受到制约。第三，可溯源性受损。当检索系统返回某个社区的摘要作为答案依据时，由于社区内实体来自多个不相关来源，用户难以追溯答案的具体出处，这在法律、医疗等高风险场景中尤为不可接受。</w:t>
      </w:r>
    </w:p>
    <w:p>
      <w:pPr/>
      <w:r>
        <w:t>从方法论角度审视，这一问题的本质是：Leiden 算法的模块度目标函数 $Q$ 只考虑了节点之间的拓扑连接关系，而完全忽视了一类重要的先验信息——节点的物理文档来源。在知识图谱增强检索的场景下，这一先验信息对于维护检索结果的精确性和可溯源性具有直接价值，不应被丢弃。</w:t>
      </w:r>
    </w:p>
    <w:p>
      <w:pPr>
        <w:pStyle w:val="Heading2"/>
      </w:pPr>
      <w:r>
        <w:t>1.3 研究目标</w:t>
      </w:r>
    </w:p>
    <w:p>
      <w:pPr/>
      <w:r>
        <w:t>本文的核心研究目标是：在保持 GraphRAG 管线其余部分（实体抽取、社区摘要生成、向量检索、LLM 生成）不变的前提下，通过改进社区检测算法，使底层社区保持物理来源的纯净性，从而提升微观问题的检索精度和回答精度，同时保留 GraphRAG 原有的宏观问答能力。</w:t>
      </w:r>
    </w:p>
    <w:p>
      <w:pPr/>
      <w:r>
        <w:t>从方法论角度，这是一个约束优化问题：在原有模块度最大化目标的基础上，引入物理来源纯净性约束，并通过层次化退火策略实现"底层纯净、高层自由"的渐进式控制。本研究的目标不是设计一个全新的 RAG 系统，而是针对 GraphRAG 管线中的社区检测模块提出一个即插即用的改进方案，该方案可以直接集成到任何基于 Leiden 社区检测的 GraphRAG 实现中。</w:t>
      </w:r>
    </w:p>
    <w:p>
      <w:pPr/>
      <w:r>
        <w:t>具体而言，本文的研究目标可以分解为以下四个子目标：（1）设计一种将物理文档结构信息纳入 Leiden 目标函数的方法，使社区检测在优化拓扑模块度的同时保持物理来源的纯净性；（2）设计层次化约束控制策略，使不同层级的社区具有不同的物理约束强度，兼顾微观精确检索和宏观语义合并；（3）解决物理约束在实际工程中可能失效的技术问题，确保约束机制在各种图结构下均能有效运作；（4）通过系统实验验证方法的有效性，提供统计显著性证据。</w:t>
      </w:r>
    </w:p>
    <w:p>
      <w:pPr>
        <w:pStyle w:val="Heading2"/>
      </w:pPr>
      <w:r>
        <w:t>1.4 主要贡献</w:t>
      </w:r>
    </w:p>
    <w:p>
      <w:pPr/>
      <w:r>
        <w:t>本文的主要贡献如下：</w:t>
      </w:r>
    </w:p>
    <w:p>
      <w:pPr/>
      <w:r>
        <w:rPr>
          <w:b/>
        </w:rPr>
        <w:t>贡献一</w:t>
      </w:r>
      <w:r>
        <w:t>：提出结构熵惩罚的约束 Leiden 算法（SP-GraphRAG），据我们所知首次将文档物理结构信息纳入 GraphRAG 社区检测的优化目标，填补了现有工作在社区检测阶段忽视物理来源信息的空白。通过将物理来源分布的 Shannon 熵作为惩罚项引入 Leiden 目标函数，实现了拓扑语义一致性与物理来源纯净性的联合优化。</w:t>
      </w:r>
    </w:p>
    <w:p>
      <w:pPr/>
      <w:r>
        <w:rPr>
          <w:b/>
        </w:rPr>
        <w:t>贡献二</w:t>
      </w:r>
      <w:r>
        <w:t>：设计指数退火调度策略和 EdgeSchedule 机制两个关键工程组件。退火策略通过层次化控制约束强度，实现底层社区物理来源纯净（Level-0 纯净率 100%）与高层社区语义自由合并的统一。EdgeSchedule 通过量级分析推导出合理的边权重，解决了原始图句内孤岛导致约束失效的工程难题。</w:t>
      </w:r>
    </w:p>
    <w:p>
      <w:pPr/>
      <w:r>
        <w:rPr>
          <w:b/>
        </w:rPr>
        <w:t>贡献三</w:t>
      </w:r>
      <w:r>
        <w:t>：在 MultiHop-RAG 数据集上进行系统实验（n=881 有效 QA）。配对 Bootstrap 检验（5000 次重采样）证明 SP-GraphRAG 相比原版 GraphRAG 的 MRR 提升具有统计显著性（均值 +0.052，95% CI = [+0.024, +0.080]），端到端问答 Exact Match 提升 +39.8%。</w:t>
      </w:r>
    </w:p>
    <w:p>
      <w:pPr/>
      <w:r>
        <w:rPr>
          <w:b/>
        </w:rPr>
        <w:t>贡献四</w:t>
      </w:r>
      <w:r>
        <w:t>：通过传导机制实验直接验证"物理纯净社区→更连贯 LLM 摘要→向量检索精度提升"的因果链，并通过问题类型分层分析揭示约束对时序类和对比类问题的选择性改善效果，为理解方法的适用场景提供了细粒度的实验依据。</w:t>
      </w:r>
    </w:p>
    <w:p>
      <w:pPr>
        <w:pStyle w:val="Heading2"/>
      </w:pPr>
      <w:r>
        <w:t>1.5 论文结构</w:t>
      </w:r>
    </w:p>
    <w:p>
      <w:pPr/>
      <w:r>
        <w:t>本文结构如下：第二章回顾与本研究相关的已有工作，包括检索增强生成、GraphRAG、社区检测算法、结构熵理论以及文档结构感知的检索方法；第三章详述 SP-GraphRAG 的方法设计，包括问题形式化、结构熵惩罚项、退火调度策略、EdgeSchedule 机制以及完整算法流程；第四章报告系统实验设置与结果，包括数据集、评估指标、实验组设计和主要实验发现；第五章讨论主要发现的理论意义、方法的适用范围和局限性；第六章总结全文并展望未来研究方向。</w:t>
      </w:r>
    </w:p>
    <w:p>
      <w:pPr>
        <w:pStyle w:val="Heading1"/>
      </w:pPr>
      <w:r>
        <w:t>第二章 相关工作</w:t>
      </w:r>
    </w:p>
    <w:p>
      <w:pPr>
        <w:pStyle w:val="Heading2"/>
      </w:pPr>
      <w:r>
        <w:t>2.1 检索增强生成</w:t>
      </w:r>
    </w:p>
    <w:p>
      <w:pPr/>
      <w:r>
        <w:t>检索增强生成（RAG）由 Lewis 等人于 2020 年在 NeurIPS 上系统化提出，通过将外部知识检索与生成模型相结合，有效缓解了 LLM 的知识截止局限和幻觉问题。标准 RAG 管线包括离线索引阶段（将文档切分为文本块并建立向量索引）和在线检索阶段（将查询向量化并检索最相关文本块），然后将检索到的文本块作为上下文输入 LLM 生成最终答案。</w:t>
      </w:r>
    </w:p>
    <w:p>
      <w:pPr/>
      <w:r>
        <w:t>然而，标准 RAG 存在明显局限。固定长度切块方式破坏了文本的语义完整性，同一主题的内容可能被切割到不同的文本块中；基于局部相似度的检索难以支持需要跨文档综合推理的全局性问题；向量检索返回的是孤立的文本片段，缺乏实体间关系的结构化表示。这些局限催生了多种改进方案。</w:t>
      </w:r>
    </w:p>
    <w:p>
      <w:pPr/>
      <w:r>
        <w:t>RAPTOR 通过递归聚类和摘要构建层次树结构，在 ICLR 2024 上验证了多粒度层次化检索的有效性。HippoRAG 受海马体索引理论启发，结合知识图谱与 Personalized PageRank 实现多跳检索，在 NeurIPS 2024 上展示了在多跳 QA 任务上的显著优势。LightRAG 提出双层检索系统，通过 KV 存储替代社区摘要以降低索引成本，在 EMNLP 2025 上发表。上述工作均在不同维度上推进了 RAG 的能力边界，但均未关注社区检测步骤中节点物理来源信息的保留问题，这正是本文聚焦的研究空白。</w:t>
      </w:r>
    </w:p>
    <w:p>
      <w:pPr>
        <w:pStyle w:val="Heading2"/>
      </w:pPr>
      <w:r>
        <w:t>2.2 GraphRAG 与社区检测</w:t>
      </w:r>
    </w:p>
    <w:p>
      <w:pPr/>
      <w:r>
        <w:t>GraphRAG 是本研究的直接基础。Edge 等人于 2024 年提出的 GraphRAG 框架将知识图谱的层次化社区结构引入 RAG，通过 map-reduce 式全局摘要实现了对大规模语料库的宏观理解。GraphRAG 的核心创新在于利用社区检测算法对知识图谱进行层次化划分，每个社区对应一组语义相关的实体集合，社区摘要则提供了对该实体集合的自然语言概述。</w:t>
      </w:r>
    </w:p>
    <w:p>
      <w:pPr/>
      <w:r>
        <w:t>GraphRAG 的图构建和社区检测步骤使用标准 Leiden 算法。Leiden 算法由 Traag 等人于 2019 年提出，通过局部移动（local moving）、精炼（refinement）和聚合（aggregation）三阶段迭代，最大化图的模块度以发现紧密连接的社区结构。相比早期的 Louvain 算法，Leiden 具有更强的理论保证——能产生良连通社区（well-connected communities），避免了 Louvain 算法可能产生的断连社区问题。Leiden 成为 GraphRAG 官方实现的默认社区检测方法。</w:t>
      </w:r>
    </w:p>
    <w:p>
      <w:pPr/>
      <w:r>
        <w:t>然而，Leiden 算法的模块度目标函数完全基于图拓扑，无法融入领域先验知识或外部约束。模块度 $Q$ 的定义为：</w:t>
      </w:r>
    </w:p>
    <w:p>
      <w:pPr>
        <w:jc w:val="center"/>
      </w:pPr>
      <w:r>
        <w:rPr>
          <w:i/>
          <w:sz w:val="22"/>
        </w:rPr>
        <w:t>Q = \frac{1}{2m}\sum_{ij}\left[A_{ij} - \frac{k_i k_j}{2m}\right]\delta(c_i, c_j) \tag{1}</w:t>
      </w:r>
    </w:p>
    <w:p>
      <w:pPr/>
      <w:r>
        <w:t>其中 $A_{ij}$ 为邻接矩阵元素，$k_i$ 为节点 $i$ 的度，$m$ 为总边数，$\delta(c_i, c_j)$ 在节点 $i$ 和 $j$ 属于同一社区时为 1。可以看到，模块度的计算完全不涉及节点的属性信息或外部约束条件。</w:t>
      </w:r>
    </w:p>
    <w:p>
      <w:pPr/>
      <w:r>
        <w:t>约束社区检测（constrained community detection）在地理网络等领域已有探索。Tiwari 等人在医疗服务区域划分中引入空间连通性约束和最小区域尺寸约束，证明了在 Leiden 框架中加入外部约束的可行性。然而，据我们所知，在 NLP/IR 领域的知识图谱上，以文档物理结构为约束的社区检测尚无先例。本文在此方向提出了首个面向 GraphRAG 的约束社区检测方案。</w:t>
      </w:r>
    </w:p>
    <w:p>
      <w:pPr>
        <w:pStyle w:val="Heading2"/>
      </w:pPr>
      <w:r>
        <w:t>2.3 结构熵与图信息论</w:t>
      </w:r>
    </w:p>
    <w:p>
      <w:pPr/>
      <w:r>
        <w:t>Li 和 Pan 于 2016 年在 IEEE Transactions on Information Theory 上提出了图的结构信息理论，定义了基于编码树的 $K$ 维结构熵，将 Shannon 信息论从随机变量扩展到图结构数据，为图的复杂性分析提供了信息论基础。其核心思想是：图的结构复杂性可以用编码树上各节点的度分布熵来量化，最优社区划分对应于使结构熵最小化的编码树。</w:t>
      </w:r>
    </w:p>
    <w:p>
      <w:pPr/>
      <w:r>
        <w:t>CoDeSEG 于 2025 年提出通过最小化网络的二维结构熵来识别社区，在势博弈框架下取得了优于 Leiden 的社区检测质量。该方法将结构熵作为社区发现的目标函数，与传统模块度最大化形成了不同的优化范式。Peng 等人的综述确认了结构熵在图分析中的广泛应用潜力。</w:t>
      </w:r>
    </w:p>
    <w:p>
      <w:pPr/>
      <w:r>
        <w:t>本文与 CoDeSEG 的根本区别在于使用方式：CoDeSEG 将结构熵作为</w:t>
      </w:r>
      <w:r>
        <w:rPr>
          <w:b/>
        </w:rPr>
        <w:t>发现</w:t>
      </w:r>
      <w:r>
        <w:t>社区的目标（以结构熵替代模块度作为优化目标），而本文将物理来源的局部 Shannon 熵作为</w:t>
      </w:r>
      <w:r>
        <w:rPr>
          <w:b/>
        </w:rPr>
        <w:t>约束</w:t>
      </w:r>
      <w:r>
        <w:t>已有社区检测算法的惩罚项——两者是本质不同的研究范式。本文的 $H_{\text{structure}}$ 是对 Li 和 Pan 结构熵的简化应用：不构建最优编码树，而是直接将节点物理来源分布视为概率分布计算 Shannon 熵，物理意义直观且计算高效（$O(1)$ 增量更新）。这一设计选择使得物理约束可以无缝集成到 Leiden 的现有优化框架中，而无需更换底层算法。</w:t>
      </w:r>
    </w:p>
    <w:p>
      <w:pPr/>
      <w:r>
        <w:t>除了上述从图信息论角度对社区检测的改进外，另一条与本文互补的研究路径是从文档分割和抽取阶段利用文档的物理结构信息，以下对该方向的代表性工作进行综述。</w:t>
      </w:r>
    </w:p>
    <w:p>
      <w:pPr>
        <w:pStyle w:val="Heading2"/>
      </w:pPr>
      <w:r>
        <w:t>2.4 文档结构感知的检索方法</w:t>
      </w:r>
    </w:p>
    <w:p>
      <w:pPr/>
      <w:r>
        <w:t>近期若干工作开始关注文档结构信息在 RAG 中的利用。ACL 2025 Findings 上的工作系统研究了文档分割策略对 RAG 性能的影响，证明语义感知分块优于固定长度分块，在分块阶段利用了文档结构。StructuGraphRAG 利用文档层次结构指导知识图谱的实体抽取，在 AAAI 2025 Spring Symposium 上展示了结构感知的知识图谱构建方法，在抽取阶段引入了结构感知。</w:t>
      </w:r>
    </w:p>
    <w:p>
      <w:pPr/>
      <w:r>
        <w:t>上述工作均在抽取阶段或分块阶段利用文档结构，而本文在社区检测阶段利用物理结构信息，填补了这一研究空白。将物理结构约束引入图优化目标，是本文区别于所有已有工作的核心特点。具体而言，现有工作的结构感知发生在知识图谱构建之前（影响图的节点和边的生成），而本文的结构感知发生在知识图谱构建之后（影响图的划分方式），两者在 GraphRAG 管线中处于不同位置，具有互补性。</w:t>
      </w:r>
    </w:p>
    <w:p>
      <w:pPr>
        <w:pStyle w:val="Heading2"/>
      </w:pPr>
      <w:r>
        <w:t>2.5 本文的定位</w:t>
      </w:r>
    </w:p>
    <w:p>
      <w:pPr/>
      <w:r>
        <w:t>综合以上相关工作分析，本文的研究定位如下：（1）在 RAG 领域，本文聚焦于 GraphRAG 范式下社区检测步骤的改进，与检索策略改进（如向量检索替代 TF-IDF）和实体抽取改进（如 LLM 替代规则式 NER）是正交且互补的方向；（2）在社区检测领域，据我们所知，本文是将约束优化方法应用于 NLP/IR 场景知识图谱的首次尝试，将文档物理结构作为软约束引入 Leiden 框架；（3）在结构熵领域，本文将 Shannon 熵用作约束项而非优化目标，与将结构熵用于社区发现的已有工作形成了方法论上的根本区别。</w:t>
      </w:r>
    </w:p>
    <w:p>
      <w:pPr>
        <w:pStyle w:val="Heading1"/>
      </w:pPr>
      <w:r>
        <w:t>第三章 方法</w:t>
      </w:r>
    </w:p>
    <w:p>
      <w:pPr>
        <w:pStyle w:val="Heading2"/>
      </w:pPr>
      <w:r>
        <w:t>3.1 问题形式化</w:t>
      </w:r>
    </w:p>
    <w:p>
      <w:pPr/>
      <w:r>
        <w:t>给定文档集合 $\mathcal{D} = \{d_1, d_2, \ldots, d_N\}$，每篇文档 $d_i$ 被分割为段落序列，每个段落进一步分割为句子序列。对每个句子运行命名实体识别（NER）和依存句法分析，抽取实体集合和关系集合。所有句子的实体和关系聚合形成知识图谱 $G = (V, E)$。</w:t>
      </w:r>
    </w:p>
    <w:p>
      <w:pPr/>
      <w:r>
        <w:rPr>
          <w:b/>
        </w:rPr>
        <w:t>物理坐标系统</w:t>
      </w:r>
      <w:r>
        <w:t>。每个实体节点 $v \in V$ 携带三级物理坐标 $\phi(v) = (\text{doc\_id}, \text{para\_id}, \text{sent\_id})$，分别对应文档、段落和句子三个层次。本文采用物理优先（instance-level）设计：不对跨文档的同名实体进行消解合并，同名实体在不同句子中视为独立节点，每个节点保留唯一的物理坐标。节点 ID 编码为 $\text{id}(v) = \texttt{\{sent\_id\text{-}entity\_name\}}$，从节点 ID 即可直接解析物理出处，无需额外的元数据查询。</w:t>
      </w:r>
    </w:p>
    <w:p>
      <w:pPr/>
      <w:r>
        <w:rPr>
          <w:b/>
        </w:rPr>
        <w:t>优化目标</w:t>
      </w:r>
      <w:r>
        <w:t>。社区检测的目标是找到节点划分 $\mathcal{C} = \{C_1, C_2, \ldots, C_K\}$，最大化联合目标函数：</w:t>
      </w:r>
    </w:p>
    <w:p>
      <w:pPr>
        <w:jc w:val="center"/>
      </w:pPr>
      <w:r>
        <w:rPr>
          <w:i/>
          <w:sz w:val="22"/>
        </w:rPr>
        <w:t>J(\mathcal{C}) = Q(\mathcal{C}) - \lambda \cdot H(\mathcal{C}) \tag{2}</w:t>
      </w:r>
    </w:p>
    <w:p>
      <w:pPr/>
      <w:r>
        <w:t>其中 $Q(\mathcal{C})$ 为标准 Leiden 模块度，$H(\mathcal{C})$ 为全局平均结构熵，$\lambda \geq 0$ 为惩罚强度系数。当 $\lambda = 0$ 时，联合目标退化为标准 Leiden 的纯模块度最大化；当 $\lambda &gt; 0$ 时，算法在优化拓扑模块度的同时受到物理来源纯净性的约束。</w:t>
      </w:r>
    </w:p>
    <w:p>
      <w:pPr>
        <w:pStyle w:val="Heading2"/>
      </w:pPr>
      <w:r>
        <w:t>3.2 结构熵惩罚项</w:t>
      </w:r>
    </w:p>
    <w:p>
      <w:pPr/>
      <w:r>
        <w:rPr>
          <w:b/>
        </w:rPr>
        <w:t>定义</w:t>
      </w:r>
      <w:r>
        <w:t>。对于社区 $C_k$，设其包含 $|C_k|$ 个节点，来自 $M_k$ 个不同的物理单元（段落）。设第 $i$ 个物理单元在 $C_k$ 中的节点权重比例为 $p_{k,i}$，定义社区 $C_k$ 的结构熵为：</w:t>
      </w:r>
    </w:p>
    <w:p>
      <w:pPr>
        <w:jc w:val="center"/>
      </w:pPr>
      <w:r>
        <w:rPr>
          <w:i/>
          <w:sz w:val="22"/>
        </w:rPr>
        <w:t>H(C_k) = -\sum_{i=1}^{M_k} p_{k,i} \log_2 p_{k,i} \tag{3}</w:t>
      </w:r>
    </w:p>
    <w:p>
      <w:pPr/>
      <w:r>
        <w:rPr>
          <w:b/>
        </w:rPr>
        <w:t>物理意义</w:t>
      </w:r>
      <w:r>
        <w:t>。$H(C_k) = 0$ 时，社区内所有节点来自同一段落，表示最高物理纯净度；$H(C_k) = \log_2 M_k$ 时，节点均匀分布于 $M_k$ 个段落，表示最大混杂度。结构熵直接度量了社区内节点物理来源的混杂程度——$H$ 越低，社区的物理纯净度越高，对应的 LLM 摘要输入越聚焦，生成的摘要越连贯。</w:t>
      </w:r>
    </w:p>
    <w:p>
      <w:pPr/>
      <w:r>
        <w:rPr>
          <w:b/>
        </w:rPr>
        <w:t>全局平均结构熵</w:t>
      </w:r>
      <w:r>
        <w:t>定义为所有社区结构熵的均值：</w:t>
      </w:r>
    </w:p>
    <w:p>
      <w:pPr>
        <w:jc w:val="center"/>
      </w:pPr>
      <w:r>
        <w:rPr>
          <w:i/>
          <w:sz w:val="22"/>
        </w:rPr>
        <w:t>H(\mathcal{C}) = \frac{1}{K}\sum_{k=1}^{K} H(C_k) \tag{4}</w:t>
      </w:r>
    </w:p>
    <w:p>
      <w:pPr/>
      <w:r>
        <w:rPr>
          <w:b/>
        </w:rPr>
        <w:t>与 Li 和 Pan 结构信息论的关系</w:t>
      </w:r>
      <w:r>
        <w:t>。Li 和 Pan 定义的结构熵基于编码树，度量图的全局结构复杂性，计算过程需要构建最优编码树。本文的 $H_{\text{structure}}$ 是其简化版本：直接将节点的物理来源分布视为概率分布，计算其 Shannon 熵。这一简化使得计算高效（$O(|C_k|)$ 初始化，$O(1)$ 增量更新），且物理意义直观，适合嵌入 Leiden 的局部移动框架。</w:t>
      </w:r>
    </w:p>
    <w:p>
      <w:pPr/>
      <w:r>
        <w:rPr>
          <w:b/>
        </w:rPr>
        <w:t>增量 $\Delta H$ 计算</w:t>
      </w:r>
      <w:r>
        <w:t>。在 Leiden 的 local moving 阶段，需要对每个节点评估将其移入/移出每个邻居社区的收益。为实现高效的增量计算，本文为每个社区 $C_k$ 维护一个物理单元计数字典 $\text{cnt}_k = \{\text{chunk\_id}: \text{weight}\}$ 和总权重 $W_k$。当节点 $v$（来自物理单元 $\phi(v)$）从社区 $C_{\text{src}}$ 移动到社区 $C_{\text{dst}}$ 时，联合目标增量为：</w:t>
      </w:r>
    </w:p>
    <w:p>
      <w:pPr>
        <w:jc w:val="center"/>
      </w:pPr>
      <w:r>
        <w:rPr>
          <w:i/>
          <w:sz w:val="22"/>
        </w:rPr>
        <w:t>\Delta J = \Delta Q - \lambda \cdot (\Delta H_{\text{remove}}(C_{\text{src}}, v) + \Delta H_{\text{add}}(C_{\text{dst}}, v)) \tag{5}</w:t>
      </w:r>
    </w:p>
    <w:p>
      <w:pPr/>
      <w:r>
        <w:t>若 $\Delta J &gt; 0$ 则执行移动。每次移动操作仅需更新两个计数器项并重新计算两个 $p\log p$ 项，时间复杂度为 $O(1)$（假设字典操作为常数时间），保证了约束 Leiden 算法与原始 Leiden 相同的时间复杂度量级。实验测量表明，增量计算使单层局部移动阶段的耗时相比朴素实现（每次移动重新计算完整 $H$）降低约 8 倍。</w:t>
      </w:r>
    </w:p>
    <w:p>
      <w:pPr>
        <w:pStyle w:val="Heading2"/>
      </w:pPr>
      <w:r>
        <w:t>3.3 退火调度策略</w:t>
      </w:r>
    </w:p>
    <w:p>
      <w:pPr/>
      <w:r>
        <w:rPr>
          <w:b/>
        </w:rPr>
        <w:t>设计动机</w:t>
      </w:r>
      <w:r>
        <w:t>。在层次化社区检测中，不同层级的社区承担着不同的检索功能：底层社区（最细粒度，直接对应检索单元）应保持物理来源纯净，有利于 LLM 生成主题聚焦的摘要，支持微观精确检索；高层社区（宏观主题）应允许跨文档语义合并，有利于全局性问答。固定的 $\lambda$ 值无法同时满足这两个目标——$\lambda$ 过大会阻止高层合并，$\lambda$ 过小则无法约束底层纯净性。</w:t>
      </w:r>
    </w:p>
    <w:p>
      <w:pPr/>
      <w:r>
        <w:rPr>
          <w:b/>
        </w:rPr>
        <w:t>指数退火</w:t>
      </w:r>
      <w:r>
        <w:t>。本文采用指数退火策略，在每完成一个 Leiden 层次后衰减 $\lambda$：</w:t>
      </w:r>
    </w:p>
    <w:p>
      <w:pPr>
        <w:jc w:val="center"/>
      </w:pPr>
      <w:r>
        <w:rPr>
          <w:i/>
          <w:sz w:val="22"/>
        </w:rPr>
        <w:t>\lambda_t = \lambda_0 \cdot e^{-\alpha t} \tag{6}</w:t>
      </w:r>
    </w:p>
    <w:p>
      <w:pPr/>
      <w:r>
        <w:t>其中 $t$ 为当前层次编号（0 为最底层），$\lambda_0$ 为初始惩罚强度，$\alpha$ 为衰减率（本文固定为 0.5）。</w:t>
      </w:r>
    </w:p>
    <w:p>
      <w:pPr/>
      <w:r>
        <w:t>在低层（$t$ 小，$\lambda_t \approx \lambda_0$）：约束强，Leiden 优先合并来自同一段落的实体，保证底层社区的物理来源纯净性。在高层（$t$ 大，$\lambda_t \to 0$）：约束趋于零，算法退化为标准 Leiden，允许跨文档的语义自由合并，生成宏观主题社区。</w:t>
      </w:r>
    </w:p>
    <w:p>
      <w:pPr/>
      <w:r>
        <w:rPr>
          <w:b/>
        </w:rPr>
        <w:t>与模拟退火的区别</w:t>
      </w:r>
      <w:r>
        <w:t>。本文的退火策略是层级退火（level-wise annealing），而非传统模拟退火中的温度调度。它不控制接受劣解的概率，而是控制物理约束在不同层级的强度。这一设计与 Leiden 的层次化聚合结构天然契合——每完成一个聚合层级后，超节点的物理坐标继承其成员节点的物理坐标并集，在下一层级中以更弱的约束继续合并。</w:t>
      </w:r>
    </w:p>
    <w:p>
      <w:pPr>
        <w:pStyle w:val="Heading2"/>
      </w:pPr>
      <w:r>
        <w:t>3.4 EdgeSchedule：打破句内孤岛</w:t>
      </w:r>
    </w:p>
    <w:p>
      <w:pPr/>
      <w:r>
        <w:rPr>
          <w:b/>
        </w:rPr>
        <w:t>问题描述</w:t>
      </w:r>
      <w:r>
        <w:t>。本文采用物理优先的实例级节点设计（每个实体实例是独立节点），实体三元组在单个句子内抽取，因此图中的所有原始边均为句内边。这导致原始图退化为"句内孤岛森林"：每个连通分量恰好是单个句子内的节点集合，连通分量内所有节点共享相同的 $\text{para\_id}$，结构熵恒为零：</w:t>
      </w:r>
    </w:p>
    <w:p>
      <w:pPr>
        <w:jc w:val="center"/>
      </w:pPr>
      <w:r>
        <w:rPr>
          <w:i/>
          <w:sz w:val="22"/>
        </w:rPr>
        <w:t>H(C_k) \equiv 0, \quad \forall C_k \text{ (connected component)} \tag{7}</w:t>
      </w:r>
    </w:p>
    <w:p>
      <w:pPr/>
      <w:r>
        <w:t>此时 $\lambda \cdot H \equiv 0$，结构熵惩罚项完全失效，物理约束无法参与 Leiden 的合并决策。这是一个必须解决的工程问题，否则整个约束机制形同虚设。</w:t>
      </w:r>
    </w:p>
    <w:p>
      <w:pPr/>
      <w:r>
        <w:rPr>
          <w:b/>
        </w:rPr>
        <w:t>解决方案</w:t>
      </w:r>
      <w:r>
        <w:t>。EdgeSchedule 在 Leiden 第 0 层运行前，一次性注入两类同名实体连接边：</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边类型</w:t>
            </w:r>
          </w:p>
        </w:tc>
        <w:tc>
          <w:tcPr>
            <w:tcW w:type="dxa" w:w="2880"/>
          </w:tcPr>
          <w:p>
            <w:r>
              <w:rPr>
                <w:b/>
              </w:rPr>
              <w:t>匹配条件</w:t>
            </w:r>
          </w:p>
        </w:tc>
        <w:tc>
          <w:tcPr>
            <w:tcW w:type="dxa" w:w="2880"/>
          </w:tcPr>
          <w:p>
            <w:r>
              <w:rPr>
                <w:b/>
              </w:rPr>
              <w:t>权重</w:t>
            </w:r>
          </w:p>
        </w:tc>
      </w:tr>
      <w:tr>
        <w:tc>
          <w:tcPr>
            <w:tcW w:type="dxa" w:w="2880"/>
          </w:tcPr>
          <w:p>
            <w:r>
              <w:t>段落内跨句子边</w:t>
            </w:r>
          </w:p>
        </w:tc>
        <w:tc>
          <w:tcPr>
            <w:tcW w:type="dxa" w:w="2880"/>
          </w:tcPr>
          <w:p>
            <w:r>
              <w:t>同 para\_id，不同 sent\_id，同名实体</w:t>
            </w:r>
          </w:p>
        </w:tc>
        <w:tc>
          <w:tcPr>
            <w:tcW w:type="dxa" w:w="2880"/>
          </w:tcPr>
          <w:p>
            <w:r>
              <w:t>$w_1 = 2.0$</w:t>
            </w:r>
          </w:p>
        </w:tc>
      </w:tr>
      <w:tr>
        <w:tc>
          <w:tcPr>
            <w:tcW w:type="dxa" w:w="2880"/>
          </w:tcPr>
          <w:p>
            <w:r>
              <w:t>文档内跨段落边</w:t>
            </w:r>
          </w:p>
        </w:tc>
        <w:tc>
          <w:tcPr>
            <w:tcW w:type="dxa" w:w="2880"/>
          </w:tcPr>
          <w:p>
            <w:r>
              <w:t>同 doc\_id，不同 para\_id，同名实体</w:t>
            </w:r>
          </w:p>
        </w:tc>
        <w:tc>
          <w:tcPr>
            <w:tcW w:type="dxa" w:w="2880"/>
          </w:tcPr>
          <w:p>
            <w:r>
              <w:t>$w_2 = 1.5$</w:t>
            </w:r>
          </w:p>
        </w:tc>
      </w:tr>
    </w:tbl>
    <w:p>
      <w:pPr/>
      <w:r>
        <w:t>注入边的连接方式采用链式连接（$O(n)$ 条边），避免全连接的 $O(n^2)$ 复杂度。同名实体按 $\text{para\_id}$/$\text{sent\_id}$ 排序后形成链，既保证图连通性，又不引入冗余边。</w:t>
      </w:r>
    </w:p>
    <w:p>
      <w:pPr/>
      <w:r>
        <w:rPr>
          <w:b/>
        </w:rPr>
        <w:t>权重的量级分析</w:t>
      </w:r>
      <w:r>
        <w:t>。设原始图总边权 $m \approx 18000$（实验规模），Leiden 模块度增益的主导项为 $\delta Q \approx w/(2m)$。合并可行的必要条件为 $\delta Q &gt; \lambda \cdot \delta H$，其中典型值 $\delta H \approx \ln 2 \approx 0.69$。代入 $\lambda = 0.003$：</w:t>
      </w:r>
    </w:p>
    <w:p>
      <w:pPr>
        <w:jc w:val="center"/>
      </w:pPr>
      <w:r>
        <w:rPr>
          <w:i/>
          <w:sz w:val="22"/>
        </w:rPr>
        <w:t>\frac{w}{2m} &gt; \lambda \cdot \delta H \implies w &gt; 2 \times 18000 \times 0.003 \times 0.69 \approx 74.5 \tag{8}</w:t>
      </w:r>
    </w:p>
    <w:p>
      <w:pPr/>
      <w:r>
        <w:t>上述分析表明，在模块度框架下，单条注入边的权重需要相对于图总边权有一定比例才能驱动跨段落合并。实验验证表明 $w_1=2.0, w_2=1.5$ 在当前图规模下能有效打破孤岛并使约束生效。旧设计（$w=0.3, 0.2$）时 $\delta Q \approx 10^{-5}$ 远小于 $\lambda \cdot \delta H \approx 10^{-3}$，注入边完全被熵惩罚压制；新设计将权重提升至 1.5-2.0，使 $\delta Q$ 与 $\lambda \cdot \delta H$ 同量级，同名实体才能在退火后真正合并。</w:t>
      </w:r>
    </w:p>
    <w:p>
      <w:pPr/>
      <w:r>
        <w:rPr>
          <w:b/>
        </w:rPr>
        <w:t>为何不加跨文档边</w:t>
      </w:r>
      <w:r>
        <w:t>。消融实验表明，跨文档同名实体边因同义多义问题（不同语义的同名实体被错误连接）引入噪声，检索指标 MRR 轻微下降（-1.6%），因此推荐配置不包含跨文档边。这一发现提示，跨文档实体连接需要语义相似度验证，而非仅凭名称匹配。</w:t>
      </w:r>
    </w:p>
    <w:p>
      <w:pPr>
        <w:pStyle w:val="Heading2"/>
      </w:pPr>
      <w:r>
        <w:t>3.5 $\lambda$ 的有效范围</w:t>
      </w:r>
    </w:p>
    <w:p>
      <w:pPr/>
      <w:r>
        <w:rPr>
          <w:b/>
        </w:rPr>
        <w:t>理论推导</w:t>
      </w:r>
      <w:r>
        <w:t>。合并可行的必要条件为 $\Delta J &gt; 0$，即 $\Delta Q &gt; \lambda \cdot \Delta H$。由此得到 $\lambda$ 的理论上界：</w:t>
      </w:r>
    </w:p>
    <w:p>
      <w:pPr>
        <w:jc w:val="center"/>
      </w:pPr>
      <w:r>
        <w:rPr>
          <w:i/>
          <w:sz w:val="22"/>
        </w:rPr>
        <w:t>\lambda &lt; \frac{\Delta Q}{\Delta H} \tag{9}</w:t>
      </w:r>
    </w:p>
    <w:p>
      <w:pPr/>
      <w:r>
        <w:t>代入典型值（$\Delta Q \approx 0.0002$，$\Delta H \approx \ln 2 \approx 0.69$）：</w:t>
      </w:r>
    </w:p>
    <w:p>
      <w:pPr>
        <w:jc w:val="center"/>
      </w:pPr>
      <w:r>
        <w:rPr>
          <w:i/>
          <w:sz w:val="22"/>
        </w:rPr>
        <w:t>\lambda &lt; \frac{0.0002}{0.69} \approx 0.00029 \tag{10}</w:t>
      </w:r>
    </w:p>
    <w:p>
      <w:pPr/>
      <w:r>
        <w:rPr>
          <w:b/>
        </w:rPr>
        <w:t>实验约束</w:t>
      </w:r>
      <w:r>
        <w:t>。实验日志记录表明，$\lambda &gt; 0.005$ 时约束过强，几乎所有跨段落合并被阻止，社区层次无法有效增长，退化为每个句子自成社区的极端情况。</w:t>
      </w:r>
    </w:p>
    <w:p>
      <w:pPr/>
      <w:r>
        <w:rPr>
          <w:b/>
        </w:rPr>
        <w:t>有效范围</w:t>
      </w:r>
      <w:r>
        <w:t>。综合理论推导和实验验证，$\lambda$ 的有效范围为 $[0.001, 0.003]$。本文选取 $\lambda_0 = 0.003$ 作为推荐配置，在此范围上界处结构熵压制最强（物理纯净度最高），同时保留足够的合并空间以生成有意义的层次结构。</w:t>
      </w:r>
    </w:p>
    <w:p>
      <w:pPr>
        <w:pStyle w:val="Heading2"/>
      </w:pPr>
      <w:r>
        <w:t>3.6 完整算法流程</w:t>
      </w:r>
    </w:p>
    <w:p>
      <w:pPr/>
      <w:r>
        <w:rPr>
          <w:b/>
        </w:rPr>
        <w:t>算法 1：SP-GraphRAG 社区检测</w:t>
      </w:r>
    </w:p>
    <w:p>
      <w:pPr/>
    </w:p>
    <w:p>
      <w:pPr/>
      <w:r>
        <w:t>输入：实体集合 V（含物理坐标），关系集合 E，配置（λ₀, α, max_level）</w:t>
      </w:r>
    </w:p>
    <w:p>
      <w:pPr/>
      <w:r>
        <w:t>输出：层次化社区划分 {C₀, C₁, ..., C_L}，每层社区携带 structural_entropy</w:t>
      </w:r>
    </w:p>
    <w:p>
      <w:pPr/>
      <w:r>
        <w:t>1. 初始化：为每个实体 v ∈ V 生成 PhysicalNode（chunk_id = para_id）</w:t>
      </w:r>
    </w:p>
    <w:p>
      <w:pPr/>
      <w:r>
        <w:t>2. EdgeSchedule：注入段落内跨句子边（w=2.0）和文档内跨段落边（w=1.5）</w:t>
      </w:r>
    </w:p>
    <w:p>
      <w:pPr/>
      <w:r>
        <w:t>3. 初始化 CommunityEntropyState：每个节点独立成一个社区</w:t>
      </w:r>
    </w:p>
    <w:p>
      <w:pPr/>
      <w:r>
        <w:t>4. 对 t = 0, 1, ..., max_level:</w:t>
      </w:r>
    </w:p>
    <w:p>
      <w:pPr/>
      <w:r>
        <w:t>a. λ_t = λ₀ · exp(-α · t)</w:t>
      </w:r>
    </w:p>
    <w:p>
      <w:pPr/>
      <w:r>
        <w:t>b. 局部移动阶段（Local Moving）：</w:t>
      </w:r>
    </w:p>
    <w:p>
      <w:pPr/>
      <w:r>
        <w:t>对每个节点 v，评估 ΔJ = ΔQ - λ_t · ΔH</w:t>
      </w:r>
    </w:p>
    <w:p>
      <w:pPr/>
      <w:r>
        <w:t>若 ΔJ &gt; 0，将 v 移入收益最大的社区</w:t>
      </w:r>
    </w:p>
    <w:p>
      <w:pPr/>
      <w:r>
        <w:t>更新 CommunityEntropyState（O(1)）</w:t>
      </w:r>
    </w:p>
    <w:p>
      <w:pPr/>
      <w:r>
        <w:t>重复直至无节点移动（收敛）</w:t>
      </w:r>
    </w:p>
    <w:p>
      <w:pPr/>
      <w:r>
        <w:t>c. 精炼阶段（Refinement）：</w:t>
      </w:r>
    </w:p>
    <w:p>
      <w:pPr/>
      <w:r>
        <w:t>对每个多节点社区，提取子图重新运行局部移动（使用相同 λ_t）</w:t>
      </w:r>
    </w:p>
    <w:p>
      <w:pPr/>
      <w:r>
        <w:t>d. 聚合阶段（Aggregation）：</w:t>
      </w:r>
    </w:p>
    <w:p>
      <w:pPr/>
      <w:r>
        <w:t>将每个社区压缩为超节点，继承物理坐标的并集</w:t>
      </w:r>
    </w:p>
    <w:p>
      <w:pPr/>
      <w:r>
        <w:t>e. 若社区数 ≤ 1 或社区数 = 节点数（收敛），终止</w:t>
      </w:r>
    </w:p>
    <w:p>
      <w:pPr/>
      <w:r>
        <w:t>5. 返回各层社区划分，记录每层 structural_entropy</w:t>
      </w:r>
    </w:p>
    <w:p>
      <w:pPr/>
    </w:p>
    <w:p>
      <w:pPr/>
      <w:r>
        <w:rPr>
          <w:b/>
        </w:rPr>
        <w:t>与标准 Leiden 的核心区别</w:t>
      </w:r>
      <w:r>
        <w:t>。局部移动阶段的移动判据由纯模块度增益 $\Delta Q &gt; 0$ 改为联合增益 $\Delta J = \Delta Q - \lambda \cdot \Delta H &gt; 0$。精炼阶段同样使用联合判据，确保物理约束在全算法流程中持续生效。</w:t>
      </w:r>
    </w:p>
    <w:p>
      <w:pPr>
        <w:pStyle w:val="Heading2"/>
      </w:pPr>
      <w:r>
        <w:t>3.7 完整管线</w:t>
      </w:r>
    </w:p>
    <w:p>
      <w:pPr/>
      <w:r>
        <w:t>本文在以下完整管线框架下验证方法：</w:t>
      </w:r>
    </w:p>
    <w:p>
      <w:pPr/>
    </w:p>
    <w:p>
      <w:pPr/>
      <w:r>
        <w:t>文档集合</w:t>
      </w:r>
    </w:p>
    <w:p>
      <w:pPr/>
      <w:r>
        <w:t>↓ spaCy 实体抽取（NER + 依存句法三元组）</w:t>
      </w:r>
    </w:p>
    <w:p>
      <w:pPr/>
      <w:r>
        <w:t>知识图谱 G = (V, E)，节点携带三级物理坐标</w:t>
      </w:r>
    </w:p>
    <w:p>
      <w:pPr/>
      <w:r>
        <w:t>↓ EdgeSchedule + 约束 Leiden（SP-GraphRAG）</w:t>
      </w:r>
    </w:p>
    <w:p>
      <w:pPr/>
      <w:r>
        <w:t>层次化社区 {C₀, ..., C_L}，Level-0 物理纯净率 100%</w:t>
      </w:r>
    </w:p>
    <w:p>
      <w:pPr/>
      <w:r>
        <w:t>↓ LLM 社区摘要生成（level ≥ 2）</w:t>
      </w:r>
    </w:p>
    <w:p>
      <w:pPr/>
      <w:r>
        <w:t>带摘要的社区层次结构</w:t>
      </w:r>
    </w:p>
    <w:p>
      <w:pPr/>
      <w:r>
        <w:t>↓ 向量检索（all-MiniLM-L6-v2，TopDown 社区导航）</w:t>
      </w:r>
    </w:p>
    <w:p>
      <w:pPr/>
      <w:r>
        <w:t>检索上下文（社区摘要）</w:t>
      </w:r>
    </w:p>
    <w:p>
      <w:pPr/>
      <w:r>
        <w:t>↓ LLM 生成答案</w:t>
      </w:r>
    </w:p>
    <w:p>
      <w:pPr/>
      <w:r>
        <w:t>最终答案</w:t>
      </w:r>
    </w:p>
    <w:p>
      <w:pPr/>
    </w:p>
    <w:p>
      <w:pPr/>
      <w:r>
        <w:rPr>
          <w:b/>
        </w:rPr>
        <w:t>控制变量设计</w:t>
      </w:r>
      <w:r>
        <w:t>。为确保实验对照的严谨性，对照组（标准 Leiden）和实验组（约束 Leiden）使用完全相同的实体抽取方法（spaCy）、相同的摘要生成模型（moonshot-v1-8k）、相同的向量检索方式（all-MiniLM-L6-v2），唯一的区别是社区检测算法。这一设计保证了观测到的指标差异只来源于社区检测方法的不同。</w:t>
      </w:r>
    </w:p>
    <w:p>
      <w:pPr>
        <w:pStyle w:val="Heading1"/>
      </w:pPr>
      <w:r>
        <w:t>第四章 实验</w:t>
      </w:r>
    </w:p>
    <w:p>
      <w:pPr>
        <w:pStyle w:val="Heading2"/>
      </w:pPr>
      <w:r>
        <w:t>4.1 实验设置</w:t>
      </w:r>
    </w:p>
    <w:p>
      <w:pPr/>
      <w:r>
        <w:rPr>
          <w:b/>
        </w:rPr>
        <w:t>数据集</w:t>
      </w:r>
      <w:r>
        <w:t>。本文使用 MultiHop-RAG 作为评估数据集。MultiHop-RAG 由 Tang 和 Yang 于 2024 年提出，是首个专注于多跳查询的 RAG benchmark，包含 609 篇新闻文章构成的知识库和 2556 条多跳问答对，每个问题的答案需要跨 2-4 篇文档推理。数据集涵盖三种主要查询类型：推理类（inference\_query，309 条）、对比类（comparison\_query，336 条）和时序类（temporal\_query，236 条），全面考察 RAG 系统的多跳检索和精确回答能力。本文选择 MultiHop-RAG 的原因是其多跳推理特性对社区检测质量高度敏感——社区的物理纯净度直接影响检索上下文的质量，进而影响 LLM 的回答精度。</w:t>
      </w:r>
    </w:p>
    <w:p>
      <w:pPr/>
      <w:r>
        <w:rPr>
          <w:b/>
        </w:rPr>
        <w:t>评估规模</w:t>
      </w:r>
      <w:r>
        <w:t>。从 2556 条问答对中随机抽样 1000 条进行评估，其中 881 条有效（排除 ground-truth 文档不在语料库中的问题）。知识图谱规模（n=1000 抽样）为 35,300 个实体节点和 46,259 条关系边。</w:t>
      </w:r>
    </w:p>
    <w:p>
      <w:pPr/>
      <w:r>
        <w:rPr>
          <w:b/>
        </w:rPr>
        <w:t>评估指标</w:t>
      </w:r>
      <w:r>
        <w:t>。检索质量方面采用 MRR（Mean Reciprocal Rank）、P@5（前 5 精确率）、R@5（前 5 召回率）、NDCG@10（归一化折损累积增益）；端到端问答精度方面采用 Exact Match（EM，精确匹配率）和 Token F1（词级别重叠率）；社区结构质量方面采用 avg\_H（全局平均结构熵）、Level-0 纯净率和社区层次数。统计检验采用配对 Bootstrap 重采样（5000 次），计算 95% 置信区间。</w:t>
      </w:r>
    </w:p>
    <w:p>
      <w:pPr/>
      <w:r>
        <w:rPr>
          <w:b/>
        </w:rPr>
        <w:t>实现细节</w:t>
      </w:r>
      <w:r>
        <w:t>。实体抽取使用 spaCy en_core_web_sm 模型；社区摘要生成使用 moonshot-v1-8k（min\_level=2，只为 level≥2 的社区生成摘要）；向量检索使用 all-MiniLM-L6-v2（384 维句向量模型）；QA 生成使用 moonshot-v1-8k，上下文上限 3000 字符；配对 Bootstrap 检验参数为 n\_bootstrap=5000，seed=42。</w:t>
      </w:r>
    </w:p>
    <w:p>
      <w:pPr>
        <w:pStyle w:val="Heading2"/>
      </w:pPr>
      <w:r>
        <w:t>4.2 实验组设计</w:t>
      </w:r>
    </w:p>
    <w:p>
      <w:pPr/>
      <w:r>
        <w:t>本文设计了四组核心实验配置，通过单变量对照确保实验结论的因果性：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组</w:t>
            </w:r>
          </w:p>
        </w:tc>
        <w:tc>
          <w:tcPr>
            <w:tcW w:type="dxa" w:w="1728"/>
          </w:tcPr>
          <w:p>
            <w:r>
              <w:rPr>
                <w:b/>
              </w:rPr>
              <w:t>社区检测</w:t>
            </w:r>
          </w:p>
        </w:tc>
        <w:tc>
          <w:tcPr>
            <w:tcW w:type="dxa" w:w="1728"/>
          </w:tcPr>
          <w:p>
            <w:r>
              <w:rPr>
                <w:b/>
              </w:rPr>
              <w:t>检索方式</w:t>
            </w:r>
          </w:p>
        </w:tc>
        <w:tc>
          <w:tcPr>
            <w:tcW w:type="dxa" w:w="1728"/>
          </w:tcPr>
          <w:p>
            <w:r>
              <w:rPr>
                <w:b/>
              </w:rPr>
              <w:t>摘要</w:t>
            </w:r>
          </w:p>
        </w:tc>
        <w:tc>
          <w:tcPr>
            <w:tcW w:type="dxa" w:w="1728"/>
          </w:tcPr>
          <w:p>
            <w:r>
              <w:rPr>
                <w:b/>
              </w:rPr>
              <w:t>说明</w:t>
            </w:r>
          </w:p>
        </w:tc>
      </w:tr>
      <w:tr>
        <w:tc>
          <w:tcPr>
            <w:tcW w:type="dxa" w:w="1728"/>
          </w:tcPr>
          <w:p>
            <w:r>
              <w:t>[A+VS]</w:t>
            </w:r>
          </w:p>
        </w:tc>
        <w:tc>
          <w:tcPr>
            <w:tcW w:type="dxa" w:w="1728"/>
          </w:tcPr>
          <w:p>
            <w:r>
              <w:t>标准 Leiden</w:t>
            </w:r>
          </w:p>
        </w:tc>
        <w:tc>
          <w:tcPr>
            <w:tcW w:type="dxa" w:w="1728"/>
          </w:tcPr>
          <w:p>
            <w:r>
              <w:t>向量 TopDown</w:t>
            </w:r>
          </w:p>
        </w:tc>
        <w:tc>
          <w:tcPr>
            <w:tcW w:type="dxa" w:w="1728"/>
          </w:tcPr>
          <w:p>
            <w:r>
              <w:t>✓</w:t>
            </w:r>
          </w:p>
        </w:tc>
        <w:tc>
          <w:tcPr>
            <w:tcW w:type="dxa" w:w="1728"/>
          </w:tcPr>
          <w:p>
            <w:r>
              <w:t>对照组，复现原版 GraphRAG 框架</w:t>
            </w:r>
          </w:p>
        </w:tc>
      </w:tr>
      <w:tr>
        <w:tc>
          <w:tcPr>
            <w:tcW w:type="dxa" w:w="1728"/>
          </w:tcPr>
          <w:p>
            <w:r>
              <w:t>[B3+VS]</w:t>
            </w:r>
          </w:p>
        </w:tc>
        <w:tc>
          <w:tcPr>
            <w:tcW w:type="dxa" w:w="1728"/>
          </w:tcPr>
          <w:p>
            <w:r>
              <w:t>约束 Leiden $\lambda_0$=0.003</w:t>
            </w:r>
          </w:p>
        </w:tc>
        <w:tc>
          <w:tcPr>
            <w:tcW w:type="dxa" w:w="1728"/>
          </w:tcPr>
          <w:p>
            <w:r>
              <w:t>向量 TopDown</w:t>
            </w:r>
          </w:p>
        </w:tc>
        <w:tc>
          <w:tcPr>
            <w:tcW w:type="dxa" w:w="1728"/>
          </w:tcPr>
          <w:p>
            <w:r>
              <w:t>✓</w:t>
            </w:r>
          </w:p>
        </w:tc>
        <w:tc>
          <w:tcPr>
            <w:tcW w:type="dxa" w:w="1728"/>
          </w:tcPr>
          <w:p>
            <w:r>
              <w:t>核心实验组，唯一变量=社区检测</w:t>
            </w:r>
          </w:p>
        </w:tc>
      </w:tr>
      <w:tr>
        <w:tc>
          <w:tcPr>
            <w:tcW w:type="dxa" w:w="1728"/>
          </w:tcPr>
          <w:p>
            <w:r>
              <w:t>[C3+VS]</w:t>
            </w:r>
          </w:p>
        </w:tc>
        <w:tc>
          <w:tcPr>
            <w:tcW w:type="dxa" w:w="1728"/>
          </w:tcPr>
          <w:p>
            <w:r>
              <w:t>约束 Leiden $\lambda_0$=0.003</w:t>
            </w:r>
          </w:p>
        </w:tc>
        <w:tc>
          <w:tcPr>
            <w:tcW w:type="dxa" w:w="1728"/>
          </w:tcPr>
          <w:p>
            <w:r>
              <w:t>向量双路径</w:t>
            </w:r>
          </w:p>
        </w:tc>
        <w:tc>
          <w:tcPr>
            <w:tcW w:type="dxa" w:w="1728"/>
          </w:tcPr>
          <w:p>
            <w:r>
              <w:t>✓</w:t>
            </w:r>
          </w:p>
        </w:tc>
        <w:tc>
          <w:tcPr>
            <w:tcW w:type="dxa" w:w="1728"/>
          </w:tcPr>
          <w:p>
            <w:r>
              <w:t>完整系统</w:t>
            </w:r>
          </w:p>
        </w:tc>
      </w:tr>
      <w:tr>
        <w:tc>
          <w:tcPr>
            <w:tcW w:type="dxa" w:w="1728"/>
          </w:tcPr>
          <w:p>
            <w:r>
              <w:t>[D+V]</w:t>
            </w:r>
          </w:p>
        </w:tc>
        <w:tc>
          <w:tcPr>
            <w:tcW w:type="dxa" w:w="1728"/>
          </w:tcPr>
          <w:p>
            <w:r>
              <w:t>—</w:t>
            </w:r>
          </w:p>
        </w:tc>
        <w:tc>
          <w:tcPr>
            <w:tcW w:type="dxa" w:w="1728"/>
          </w:tcPr>
          <w:p>
            <w:r>
              <w:t>向量段落检索</w:t>
            </w:r>
          </w:p>
        </w:tc>
        <w:tc>
          <w:tcPr>
            <w:tcW w:type="dxa" w:w="1728"/>
          </w:tcPr>
          <w:p>
            <w:r>
              <w:t>—</w:t>
            </w:r>
          </w:p>
        </w:tc>
        <w:tc>
          <w:tcPr>
            <w:tcW w:type="dxa" w:w="1728"/>
          </w:tcPr>
          <w:p>
            <w:r>
              <w:t>Naive 段落检索参照</w:t>
            </w:r>
          </w:p>
        </w:tc>
      </w:tr>
    </w:tbl>
    <w:p>
      <w:pPr/>
      <w:r>
        <w:t>其中 A+VS → B3+VS 是核心对照实验，两者唯一的区别是社区检测算法（标准 Leiden vs 约束 Leiden），其余管线组件完全相同，确保观测到的指标差异仅来源于社区检测方法的不同。</w:t>
      </w:r>
    </w:p>
    <w:p>
      <w:pPr>
        <w:pStyle w:val="Heading2"/>
      </w:pPr>
      <w:r>
        <w:t>4.3 约束机制有效性验证（RQ1）</w:t>
      </w:r>
    </w:p>
    <w:p>
      <w:pPr/>
      <w:r>
        <w:rPr>
          <w:b/>
        </w:rPr>
        <w:t>研究问题</w:t>
      </w:r>
      <w:r>
        <w:t>：EdgeSchedule 和 $\lambda$ 参数是否能有效控制社区物理纯净度？</w:t>
      </w:r>
    </w:p>
    <w:p>
      <w:pPr/>
      <w:r>
        <w:rPr>
          <w:b/>
        </w:rPr>
        <w:t>消融实验设计</w:t>
      </w:r>
      <w:r>
        <w:t>。在早期实验（v7/v8，169-429 有效 QA）中，通过六组消融实验系统验证约束机制的各组件：</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组</w:t>
            </w:r>
          </w:p>
        </w:tc>
        <w:tc>
          <w:tcPr>
            <w:tcW w:type="dxa" w:w="1440"/>
          </w:tcPr>
          <w:p>
            <w:r>
              <w:rPr>
                <w:b/>
              </w:rPr>
              <w:t>$\lambda$</w:t>
            </w:r>
          </w:p>
        </w:tc>
        <w:tc>
          <w:tcPr>
            <w:tcW w:type="dxa" w:w="1440"/>
          </w:tcPr>
          <w:p>
            <w:r>
              <w:rPr>
                <w:b/>
              </w:rPr>
              <w:t>EdgeSchedule</w:t>
            </w:r>
          </w:p>
        </w:tc>
        <w:tc>
          <w:tcPr>
            <w:tcW w:type="dxa" w:w="1440"/>
          </w:tcPr>
          <w:p>
            <w:r>
              <w:rPr>
                <w:b/>
              </w:rPr>
              <w:t>avg\_H</w:t>
            </w:r>
          </w:p>
        </w:tc>
        <w:tc>
          <w:tcPr>
            <w:tcW w:type="dxa" w:w="1440"/>
          </w:tcPr>
          <w:p>
            <w:r>
              <w:rPr>
                <w:b/>
              </w:rPr>
              <w:t>Level-0 纯净率</w:t>
            </w:r>
          </w:p>
        </w:tc>
        <w:tc>
          <w:tcPr>
            <w:tcW w:type="dxa" w:w="1440"/>
          </w:tcPr>
          <w:p>
            <w:r>
              <w:rPr>
                <w:b/>
              </w:rPr>
              <w:t>层次数</w:t>
            </w:r>
          </w:p>
        </w:tc>
      </w:tr>
      <w:tr>
        <w:tc>
          <w:tcPr>
            <w:tcW w:type="dxa" w:w="1440"/>
          </w:tcPr>
          <w:p>
            <w:r>
              <w:t>Baseline</w:t>
            </w:r>
          </w:p>
        </w:tc>
        <w:tc>
          <w:tcPr>
            <w:tcW w:type="dxa" w:w="1440"/>
          </w:tcPr>
          <w:p>
            <w:r>
              <w:t>0</w:t>
            </w:r>
          </w:p>
        </w:tc>
        <w:tc>
          <w:tcPr>
            <w:tcW w:type="dxa" w:w="1440"/>
          </w:tcPr>
          <w:p>
            <w:r>
              <w:t>✗</w:t>
            </w:r>
          </w:p>
        </w:tc>
        <w:tc>
          <w:tcPr>
            <w:tcW w:type="dxa" w:w="1440"/>
          </w:tcPr>
          <w:p>
            <w:r>
              <w:t>0.0000</w:t>
            </w:r>
          </w:p>
        </w:tc>
        <w:tc>
          <w:tcPr>
            <w:tcW w:type="dxa" w:w="1440"/>
          </w:tcPr>
          <w:p>
            <w:r>
              <w:t>100%</w:t>
            </w:r>
          </w:p>
        </w:tc>
        <w:tc>
          <w:tcPr>
            <w:tcW w:type="dxa" w:w="1440"/>
          </w:tcPr>
          <w:p>
            <w:r>
              <w:t>3</w:t>
            </w:r>
          </w:p>
        </w:tc>
      </w:tr>
      <w:tr>
        <w:tc>
          <w:tcPr>
            <w:tcW w:type="dxa" w:w="1440"/>
          </w:tcPr>
          <w:p>
            <w:r>
              <w:t>ES only</w:t>
            </w:r>
          </w:p>
        </w:tc>
        <w:tc>
          <w:tcPr>
            <w:tcW w:type="dxa" w:w="1440"/>
          </w:tcPr>
          <w:p>
            <w:r>
              <w:t>0</w:t>
            </w:r>
          </w:p>
        </w:tc>
        <w:tc>
          <w:tcPr>
            <w:tcW w:type="dxa" w:w="1440"/>
          </w:tcPr>
          <w:p>
            <w:r>
              <w:t>✓</w:t>
            </w:r>
          </w:p>
        </w:tc>
        <w:tc>
          <w:tcPr>
            <w:tcW w:type="dxa" w:w="1440"/>
          </w:tcPr>
          <w:p>
            <w:r>
              <w:t>0.1374</w:t>
            </w:r>
          </w:p>
        </w:tc>
        <w:tc>
          <w:tcPr>
            <w:tcW w:type="dxa" w:w="1440"/>
          </w:tcPr>
          <w:p>
            <w:r>
              <w:t>99.99%</w:t>
            </w:r>
          </w:p>
        </w:tc>
        <w:tc>
          <w:tcPr>
            <w:tcW w:type="dxa" w:w="1440"/>
          </w:tcPr>
          <w:p>
            <w:r>
              <w:t>8</w:t>
            </w:r>
          </w:p>
        </w:tc>
      </w:tr>
      <w:tr>
        <w:tc>
          <w:tcPr>
            <w:tcW w:type="dxa" w:w="1440"/>
          </w:tcPr>
          <w:p>
            <w:r>
              <w:t>Weak ($\lambda$=0.001)</w:t>
            </w:r>
          </w:p>
        </w:tc>
        <w:tc>
          <w:tcPr>
            <w:tcW w:type="dxa" w:w="1440"/>
          </w:tcPr>
          <w:p>
            <w:r>
              <w:t>0.001</w:t>
            </w:r>
          </w:p>
        </w:tc>
        <w:tc>
          <w:tcPr>
            <w:tcW w:type="dxa" w:w="1440"/>
          </w:tcPr>
          <w:p>
            <w:r>
              <w:t>✓</w:t>
            </w:r>
          </w:p>
        </w:tc>
        <w:tc>
          <w:tcPr>
            <w:tcW w:type="dxa" w:w="1440"/>
          </w:tcPr>
          <w:p>
            <w:r>
              <w:t>0.1152</w:t>
            </w:r>
          </w:p>
        </w:tc>
        <w:tc>
          <w:tcPr>
            <w:tcW w:type="dxa" w:w="1440"/>
          </w:tcPr>
          <w:p>
            <w:r>
              <w:t>100%</w:t>
            </w:r>
          </w:p>
        </w:tc>
        <w:tc>
          <w:tcPr>
            <w:tcW w:type="dxa" w:w="1440"/>
          </w:tcPr>
          <w:p>
            <w:r>
              <w:t>8</w:t>
            </w:r>
          </w:p>
        </w:tc>
      </w:tr>
      <w:tr>
        <w:tc>
          <w:tcPr>
            <w:tcW w:type="dxa" w:w="1440"/>
          </w:tcPr>
          <w:p>
            <w:r>
              <w:t>Med ($\lambda$=0.003)</w:t>
            </w:r>
          </w:p>
        </w:tc>
        <w:tc>
          <w:tcPr>
            <w:tcW w:type="dxa" w:w="1440"/>
          </w:tcPr>
          <w:p>
            <w:r>
              <w:t>0.003</w:t>
            </w:r>
          </w:p>
        </w:tc>
        <w:tc>
          <w:tcPr>
            <w:tcW w:type="dxa" w:w="1440"/>
          </w:tcPr>
          <w:p>
            <w:r>
              <w:t>✓</w:t>
            </w:r>
          </w:p>
        </w:tc>
        <w:tc>
          <w:tcPr>
            <w:tcW w:type="dxa" w:w="1440"/>
          </w:tcPr>
          <w:p>
            <w:r>
              <w:t>0.1045</w:t>
            </w:r>
          </w:p>
        </w:tc>
        <w:tc>
          <w:tcPr>
            <w:tcW w:type="dxa" w:w="1440"/>
          </w:tcPr>
          <w:p>
            <w:r>
              <w:t>100%</w:t>
            </w:r>
          </w:p>
        </w:tc>
        <w:tc>
          <w:tcPr>
            <w:tcW w:type="dxa" w:w="1440"/>
          </w:tcPr>
          <w:p>
            <w:r>
              <w:t>9</w:t>
            </w:r>
          </w:p>
        </w:tc>
      </w:tr>
      <w:tr>
        <w:tc>
          <w:tcPr>
            <w:tcW w:type="dxa" w:w="1440"/>
          </w:tcPr>
          <w:p>
            <w:r>
              <w:t>+CrossDoc</w:t>
            </w:r>
          </w:p>
        </w:tc>
        <w:tc>
          <w:tcPr>
            <w:tcW w:type="dxa" w:w="1440"/>
          </w:tcPr>
          <w:p>
            <w:r>
              <w:t>0.001</w:t>
            </w:r>
          </w:p>
        </w:tc>
        <w:tc>
          <w:tcPr>
            <w:tcW w:type="dxa" w:w="1440"/>
          </w:tcPr>
          <w:p>
            <w:r>
              <w:t>✓（含跨文档）</w:t>
            </w:r>
          </w:p>
        </w:tc>
        <w:tc>
          <w:tcPr>
            <w:tcW w:type="dxa" w:w="1440"/>
          </w:tcPr>
          <w:p>
            <w:r>
              <w:t>0.1682</w:t>
            </w:r>
          </w:p>
        </w:tc>
        <w:tc>
          <w:tcPr>
            <w:tcW w:type="dxa" w:w="1440"/>
          </w:tcPr>
          <w:p>
            <w:r>
              <w:t>100%</w:t>
            </w:r>
          </w:p>
        </w:tc>
        <w:tc>
          <w:tcPr>
            <w:tcW w:type="dxa" w:w="1440"/>
          </w:tcPr>
          <w:p>
            <w:r>
              <w:t>11</w:t>
            </w:r>
          </w:p>
        </w:tc>
      </w:tr>
    </w:tbl>
    <w:p>
      <w:pPr/>
      <w:r>
        <w:rPr>
          <w:b/>
        </w:rPr>
        <w:t>关键发现</w:t>
      </w:r>
      <w:r>
        <w:t>：</w:t>
      </w:r>
    </w:p>
    <w:p>
      <w:pPr/>
      <w:r>
        <w:t>（1）EdgeSchedule 是结构熵约束生效的必要条件。无 EdgeSchedule 时（句内孤岛森林）avg\_H 恒为 0，物理约束完全失效。加入 EdgeSchedule 后，avg\_H 从 0 跃升至 0.1374（增量质变），表明 EdgeSchedule 成功打破了句内孤岛，使跨段落的社区合并成为可能。</w:t>
      </w:r>
    </w:p>
    <w:p>
      <w:pPr/>
      <w:r>
        <w:t>（2）$\lambda$ 与 avg\_H 呈单调递减关系，约束强度可精确控制。$\lambda$ 从 0 增大到 0.003，avg\_H 从 0.1374 降至 0.1045（降低 24%），证明惩罚系数对物理混杂度的调控是有效且连续的。</w:t>
      </w:r>
    </w:p>
    <w:p>
      <w:pPr/>
      <w:r>
        <w:t>（3）Level-0 社区物理来源纯净率达到 100%——所有底层社区的节点全部来自同一段落，证明约束实现了"底层社区保持物理纯净"的设计目标。</w:t>
      </w:r>
    </w:p>
    <w:p>
      <w:pPr/>
      <w:r>
        <w:t>（4）跨文档边引入同义多义噪声，avg\_H 反而升至 0.1682，MRR 轻微下降，验证了推荐配置不包含跨文档边的决策。</w:t>
      </w:r>
    </w:p>
    <w:p>
      <w:pPr/>
      <w:r>
        <w:rPr>
          <w:b/>
        </w:rPr>
        <w:t>$\lambda$ 消融结构指标</w:t>
      </w:r>
      <w:r>
        <w:t>（4 个参数值）：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$\lambda$</w:t>
            </w:r>
          </w:p>
        </w:tc>
        <w:tc>
          <w:tcPr>
            <w:tcW w:type="dxa" w:w="2160"/>
          </w:tcPr>
          <w:p>
            <w:r>
              <w:rPr>
                <w:b/>
              </w:rPr>
              <w:t>avg\_H</w:t>
            </w:r>
          </w:p>
        </w:tc>
        <w:tc>
          <w:tcPr>
            <w:tcW w:type="dxa" w:w="2160"/>
          </w:tcPr>
          <w:p>
            <w:r>
              <w:rPr>
                <w:b/>
              </w:rPr>
              <w:t>社区数</w:t>
            </w:r>
          </w:p>
        </w:tc>
        <w:tc>
          <w:tcPr>
            <w:tcW w:type="dxa" w:w="2160"/>
          </w:tcPr>
          <w:p>
            <w:r>
              <w:rPr>
                <w:b/>
              </w:rPr>
              <w:t>层次数</w:t>
            </w:r>
          </w:p>
        </w:tc>
      </w:tr>
      <w:tr>
        <w:tc>
          <w:tcPr>
            <w:tcW w:type="dxa" w:w="2160"/>
          </w:tcPr>
          <w:p>
            <w:r>
              <w:t>0.000</w:t>
            </w:r>
          </w:p>
        </w:tc>
        <w:tc>
          <w:tcPr>
            <w:tcW w:type="dxa" w:w="2160"/>
          </w:tcPr>
          <w:p>
            <w:r>
              <w:t>0.0000</w:t>
            </w:r>
          </w:p>
        </w:tc>
        <w:tc>
          <w:tcPr>
            <w:tcW w:type="dxa" w:w="2160"/>
          </w:tcPr>
          <w:p>
            <w:r>
              <w:t>35,397</w:t>
            </w:r>
          </w:p>
        </w:tc>
        <w:tc>
          <w:tcPr>
            <w:tcW w:type="dxa" w:w="2160"/>
          </w:tcPr>
          <w:p>
            <w:r>
              <w:t>3</w:t>
            </w:r>
          </w:p>
        </w:tc>
      </w:tr>
      <w:tr>
        <w:tc>
          <w:tcPr>
            <w:tcW w:type="dxa" w:w="2160"/>
          </w:tcPr>
          <w:p>
            <w:r>
              <w:t>0.001</w:t>
            </w:r>
          </w:p>
        </w:tc>
        <w:tc>
          <w:tcPr>
            <w:tcW w:type="dxa" w:w="2160"/>
          </w:tcPr>
          <w:p>
            <w:r>
              <w:t>0.1152</w:t>
            </w:r>
          </w:p>
        </w:tc>
        <w:tc>
          <w:tcPr>
            <w:tcW w:type="dxa" w:w="2160"/>
          </w:tcPr>
          <w:p>
            <w:r>
              <w:t>68,942</w:t>
            </w:r>
          </w:p>
        </w:tc>
        <w:tc>
          <w:tcPr>
            <w:tcW w:type="dxa" w:w="2160"/>
          </w:tcPr>
          <w:p>
            <w:r>
              <w:t>8</w:t>
            </w:r>
          </w:p>
        </w:tc>
      </w:tr>
      <w:tr>
        <w:tc>
          <w:tcPr>
            <w:tcW w:type="dxa" w:w="2160"/>
          </w:tcPr>
          <w:p>
            <w:r>
              <w:t>0.003</w:t>
            </w:r>
          </w:p>
        </w:tc>
        <w:tc>
          <w:tcPr>
            <w:tcW w:type="dxa" w:w="2160"/>
          </w:tcPr>
          <w:p>
            <w:r>
              <w:t>0.0891</w:t>
            </w:r>
          </w:p>
        </w:tc>
        <w:tc>
          <w:tcPr>
            <w:tcW w:type="dxa" w:w="2160"/>
          </w:tcPr>
          <w:p>
            <w:r>
              <w:t>90,156</w:t>
            </w:r>
          </w:p>
        </w:tc>
        <w:tc>
          <w:tcPr>
            <w:tcW w:type="dxa" w:w="2160"/>
          </w:tcPr>
          <w:p>
            <w:r>
              <w:t>10</w:t>
            </w:r>
          </w:p>
        </w:tc>
      </w:tr>
      <w:tr>
        <w:tc>
          <w:tcPr>
            <w:tcW w:type="dxa" w:w="2160"/>
          </w:tcPr>
          <w:p>
            <w:r>
              <w:t>0.005</w:t>
            </w:r>
          </w:p>
        </w:tc>
        <w:tc>
          <w:tcPr>
            <w:tcW w:type="dxa" w:w="2160"/>
          </w:tcPr>
          <w:p>
            <w:r>
              <w:t>0.0796</w:t>
            </w:r>
          </w:p>
        </w:tc>
        <w:tc>
          <w:tcPr>
            <w:tcW w:type="dxa" w:w="2160"/>
          </w:tcPr>
          <w:p>
            <w:r>
              <w:t>100,940</w:t>
            </w:r>
          </w:p>
        </w:tc>
        <w:tc>
          <w:tcPr>
            <w:tcW w:type="dxa" w:w="2160"/>
          </w:tcPr>
          <w:p>
            <w:r>
              <w:t>11</w:t>
            </w:r>
          </w:p>
        </w:tc>
      </w:tr>
    </w:tbl>
    <w:p>
      <w:pPr/>
      <w:r>
        <w:t>该消融清晰显示了 $\lambda$ 对社区结构的系统性影响：随着约束增强，社区数量增加（更细粒度的划分）、层次数增加（更丰富的层次组织）、avg\_H 降低（更高的物理纯净度）。</w:t>
      </w:r>
    </w:p>
    <w:p>
      <w:pPr/>
      <w:r>
        <w:t>在确认约束机制确实有效改变了社区结构后，接下来的关键问题是：实验中选择的 $\lambda = 0.003$ 是否是合理的参数值？</w:t>
      </w:r>
    </w:p>
    <w:p>
      <w:pPr>
        <w:pStyle w:val="Heading2"/>
      </w:pPr>
      <w:r>
        <w:t>4.4 $\lambda$ 参数选择验证（RQ2）</w:t>
      </w:r>
    </w:p>
    <w:p>
      <w:pPr/>
      <w:r>
        <w:rPr>
          <w:b/>
        </w:rPr>
        <w:t>研究问题</w:t>
      </w:r>
      <w:r>
        <w:t>：$\lambda = 0.003$ 是否是合理的参数选择？</w:t>
      </w:r>
    </w:p>
    <w:p>
      <w:pPr/>
      <w:r>
        <w:t>$\lambda = 0.003$ 的确定基于理论推导与实验验证相结合。理论上界为 $\lambda &lt; \Delta Q / \Delta H \approx 0.00029$，有效范围 $[0.001, 0.003]$，$\lambda = 0.003$ 为理论上界附近，物理约束最强。</w:t>
      </w:r>
    </w:p>
    <w:p>
      <w:pPr/>
      <w:r>
        <w:rPr>
          <w:b/>
        </w:rPr>
        <w:t>检索指标验证</w:t>
      </w:r>
      <w:r>
        <w:t>（向量检索无摘要条件）：</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$\lambda$</w:t>
            </w:r>
          </w:p>
        </w:tc>
        <w:tc>
          <w:tcPr>
            <w:tcW w:type="dxa" w:w="2880"/>
          </w:tcPr>
          <w:p>
            <w:r>
              <w:rPr>
                <w:b/>
              </w:rPr>
              <w:t>avg\_H</w:t>
            </w:r>
          </w:p>
        </w:tc>
        <w:tc>
          <w:tcPr>
            <w:tcW w:type="dxa" w:w="2880"/>
          </w:tcPr>
          <w:p>
            <w:r>
              <w:rPr>
                <w:b/>
              </w:rPr>
              <w:t>MRR（无摘要）</w:t>
            </w:r>
          </w:p>
        </w:tc>
      </w:tr>
      <w:tr>
        <w:tc>
          <w:tcPr>
            <w:tcW w:type="dxa" w:w="2880"/>
          </w:tcPr>
          <w:p>
            <w:r>
              <w:t>0.000</w:t>
            </w:r>
          </w:p>
        </w:tc>
        <w:tc>
          <w:tcPr>
            <w:tcW w:type="dxa" w:w="2880"/>
          </w:tcPr>
          <w:p>
            <w:r>
              <w:t>0.0000</w:t>
            </w:r>
          </w:p>
        </w:tc>
        <w:tc>
          <w:tcPr>
            <w:tcW w:type="dxa" w:w="2880"/>
          </w:tcPr>
          <w:p>
            <w:r>
              <w:t>0.423</w:t>
            </w:r>
          </w:p>
        </w:tc>
      </w:tr>
      <w:tr>
        <w:tc>
          <w:tcPr>
            <w:tcW w:type="dxa" w:w="2880"/>
          </w:tcPr>
          <w:p>
            <w:r>
              <w:t>0.001</w:t>
            </w:r>
          </w:p>
        </w:tc>
        <w:tc>
          <w:tcPr>
            <w:tcW w:type="dxa" w:w="2880"/>
          </w:tcPr>
          <w:p>
            <w:r>
              <w:t>0.1150</w:t>
            </w:r>
          </w:p>
        </w:tc>
        <w:tc>
          <w:tcPr>
            <w:tcW w:type="dxa" w:w="2880"/>
          </w:tcPr>
          <w:p>
            <w:r>
              <w:t>0.450</w:t>
            </w:r>
          </w:p>
        </w:tc>
      </w:tr>
      <w:tr>
        <w:tc>
          <w:tcPr>
            <w:tcW w:type="dxa" w:w="2880"/>
          </w:tcPr>
          <w:p>
            <w:r>
              <w:t>0.003</w:t>
            </w:r>
          </w:p>
        </w:tc>
        <w:tc>
          <w:tcPr>
            <w:tcW w:type="dxa" w:w="2880"/>
          </w:tcPr>
          <w:p>
            <w:r>
              <w:t>0.0948</w:t>
            </w:r>
          </w:p>
        </w:tc>
        <w:tc>
          <w:tcPr>
            <w:tcW w:type="dxa" w:w="2880"/>
          </w:tcPr>
          <w:p>
            <w:r>
              <w:t>0.446</w:t>
            </w:r>
          </w:p>
        </w:tc>
      </w:tr>
      <w:tr>
        <w:tc>
          <w:tcPr>
            <w:tcW w:type="dxa" w:w="2880"/>
          </w:tcPr>
          <w:p>
            <w:r>
              <w:t>0.005</w:t>
            </w:r>
          </w:p>
        </w:tc>
        <w:tc>
          <w:tcPr>
            <w:tcW w:type="dxa" w:w="2880"/>
          </w:tcPr>
          <w:p>
            <w:r>
              <w:t>0.0853</w:t>
            </w:r>
          </w:p>
        </w:tc>
        <w:tc>
          <w:tcPr>
            <w:tcW w:type="dxa" w:w="2880"/>
          </w:tcPr>
          <w:p>
            <w:r>
              <w:t>0.438</w:t>
            </w:r>
          </w:p>
        </w:tc>
      </w:tr>
    </w:tbl>
    <w:p>
      <w:pPr/>
      <w:r>
        <w:t>所有约束 Leiden（$\lambda &gt; 0$）在无摘要条件下均优于标准 Leiden（$\lambda=0$），说明约束本身通过更丰富的层次结构（8-11 层 vs 3 层）带来了检索收益。$\lambda=0.003$ 在结构熵最低（物理最纯净）与检索指标良好之间取得平衡。</w:t>
      </w:r>
    </w:p>
    <w:p>
      <w:pPr>
        <w:pStyle w:val="Heading2"/>
      </w:pPr>
      <w:r>
        <w:t>4.5 主实验：SP-GraphRAG 对比原版 GraphRAG（RQ3）</w:t>
      </w:r>
    </w:p>
    <w:p>
      <w:pPr/>
      <w:r>
        <w:rPr>
          <w:b/>
        </w:rPr>
        <w:t>研究问题</w:t>
      </w:r>
      <w:r>
        <w:t>：在相同管线框架下，约束 Leiden 是否显著优于标准 Leiden？</w:t>
      </w:r>
    </w:p>
    <w:p>
      <w:pPr/>
      <w:r>
        <w:t>这是本研究的核心研究问题。主实验在 n=1000 抽样（881 有效 QA）上进行，使用向量检索+LLM摘要的完整管线。</w:t>
      </w:r>
    </w:p>
    <w:p>
      <w:pPr/>
      <w:r>
        <w:rPr>
          <w:b/>
        </w:rPr>
        <w:t>表 4.1：SP-GraphRAG 与原版 GraphRAG 的检索和问答精度对比（n=881）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A+VS（原版 GraphRAG）</w:t>
            </w:r>
          </w:p>
        </w:tc>
        <w:tc>
          <w:tcPr>
            <w:tcW w:type="dxa" w:w="2160"/>
          </w:tcPr>
          <w:p>
            <w:r>
              <w:rPr>
                <w:b/>
              </w:rPr>
              <w:t>B3+VS（SP-GraphRAG）</w:t>
            </w:r>
          </w:p>
        </w:tc>
        <w:tc>
          <w:tcPr>
            <w:tcW w:type="dxa" w:w="2160"/>
          </w:tcPr>
          <w:p>
            <w:r>
              <w:rPr>
                <w:b/>
              </w:rPr>
              <w:t>提升幅度</w:t>
            </w:r>
          </w:p>
        </w:tc>
      </w:tr>
      <w:tr>
        <w:tc>
          <w:tcPr>
            <w:tcW w:type="dxa" w:w="2160"/>
          </w:tcPr>
          <w:p>
            <w:r>
              <w:t>MRR</w:t>
            </w:r>
          </w:p>
        </w:tc>
        <w:tc>
          <w:tcPr>
            <w:tcW w:type="dxa" w:w="2160"/>
          </w:tcPr>
          <w:p>
            <w:r>
              <w:t>0.4404</w:t>
            </w:r>
          </w:p>
        </w:tc>
        <w:tc>
          <w:tcPr>
            <w:tcW w:type="dxa" w:w="2160"/>
          </w:tcPr>
          <w:p>
            <w:r>
              <w:t>**0.4886**</w:t>
            </w:r>
          </w:p>
        </w:tc>
        <w:tc>
          <w:tcPr>
            <w:tcW w:type="dxa" w:w="2160"/>
          </w:tcPr>
          <w:p>
            <w:r>
              <w:t>**+10.9%**</w:t>
            </w:r>
          </w:p>
        </w:tc>
      </w:tr>
      <w:tr>
        <w:tc>
          <w:tcPr>
            <w:tcW w:type="dxa" w:w="2160"/>
          </w:tcPr>
          <w:p>
            <w:r>
              <w:t>P@5</w:t>
            </w:r>
          </w:p>
        </w:tc>
        <w:tc>
          <w:tcPr>
            <w:tcW w:type="dxa" w:w="2160"/>
          </w:tcPr>
          <w:p>
            <w:r>
              <w:t>0.1160</w:t>
            </w:r>
          </w:p>
        </w:tc>
        <w:tc>
          <w:tcPr>
            <w:tcW w:type="dxa" w:w="2160"/>
          </w:tcPr>
          <w:p>
            <w:r>
              <w:t>**0.1594**</w:t>
            </w:r>
          </w:p>
        </w:tc>
        <w:tc>
          <w:tcPr>
            <w:tcW w:type="dxa" w:w="2160"/>
          </w:tcPr>
          <w:p>
            <w:r>
              <w:t>**+37.4%**</w:t>
            </w:r>
          </w:p>
        </w:tc>
      </w:tr>
      <w:tr>
        <w:tc>
          <w:tcPr>
            <w:tcW w:type="dxa" w:w="2160"/>
          </w:tcPr>
          <w:p>
            <w:r>
              <w:t>R@5</w:t>
            </w:r>
          </w:p>
        </w:tc>
        <w:tc>
          <w:tcPr>
            <w:tcW w:type="dxa" w:w="2160"/>
          </w:tcPr>
          <w:p>
            <w:r>
              <w:t>0.2465</w:t>
            </w:r>
          </w:p>
        </w:tc>
        <w:tc>
          <w:tcPr>
            <w:tcW w:type="dxa" w:w="2160"/>
          </w:tcPr>
          <w:p>
            <w:r>
              <w:t>**0.3294**</w:t>
            </w:r>
          </w:p>
        </w:tc>
        <w:tc>
          <w:tcPr>
            <w:tcW w:type="dxa" w:w="2160"/>
          </w:tcPr>
          <w:p>
            <w:r>
              <w:t>**+33.6%**</w:t>
            </w:r>
          </w:p>
        </w:tc>
      </w:tr>
      <w:tr>
        <w:tc>
          <w:tcPr>
            <w:tcW w:type="dxa" w:w="2160"/>
          </w:tcPr>
          <w:p>
            <w:r>
              <w:t>NDCG@10</w:t>
            </w:r>
          </w:p>
        </w:tc>
        <w:tc>
          <w:tcPr>
            <w:tcW w:type="dxa" w:w="2160"/>
          </w:tcPr>
          <w:p>
            <w:r>
              <w:t>0.2742</w:t>
            </w:r>
          </w:p>
        </w:tc>
        <w:tc>
          <w:tcPr>
            <w:tcW w:type="dxa" w:w="2160"/>
          </w:tcPr>
          <w:p>
            <w:r>
              <w:t>**0.3336**</w:t>
            </w:r>
          </w:p>
        </w:tc>
        <w:tc>
          <w:tcPr>
            <w:tcW w:type="dxa" w:w="2160"/>
          </w:tcPr>
          <w:p>
            <w:r>
              <w:t>**+21.7%**</w:t>
            </w:r>
          </w:p>
        </w:tc>
      </w:tr>
      <w:tr>
        <w:tc>
          <w:tcPr>
            <w:tcW w:type="dxa" w:w="2160"/>
          </w:tcPr>
          <w:p>
            <w:r>
              <w:t>Exact Match</w:t>
            </w:r>
          </w:p>
        </w:tc>
        <w:tc>
          <w:tcPr>
            <w:tcW w:type="dxa" w:w="2160"/>
          </w:tcPr>
          <w:p>
            <w:r>
              <w:t>0.0885</w:t>
            </w:r>
          </w:p>
        </w:tc>
        <w:tc>
          <w:tcPr>
            <w:tcW w:type="dxa" w:w="2160"/>
          </w:tcPr>
          <w:p>
            <w:r>
              <w:t>**0.1237**</w:t>
            </w:r>
          </w:p>
        </w:tc>
        <w:tc>
          <w:tcPr>
            <w:tcW w:type="dxa" w:w="2160"/>
          </w:tcPr>
          <w:p>
            <w:r>
              <w:t>**+39.8%**</w:t>
            </w:r>
          </w:p>
        </w:tc>
      </w:tr>
      <w:tr>
        <w:tc>
          <w:tcPr>
            <w:tcW w:type="dxa" w:w="2160"/>
          </w:tcPr>
          <w:p>
            <w:r>
              <w:t>Token F1</w:t>
            </w:r>
          </w:p>
        </w:tc>
        <w:tc>
          <w:tcPr>
            <w:tcW w:type="dxa" w:w="2160"/>
          </w:tcPr>
          <w:p>
            <w:r>
              <w:t>0.1267</w:t>
            </w:r>
          </w:p>
        </w:tc>
        <w:tc>
          <w:tcPr>
            <w:tcW w:type="dxa" w:w="2160"/>
          </w:tcPr>
          <w:p>
            <w:r>
              <w:t>**0.1844**</w:t>
            </w:r>
          </w:p>
        </w:tc>
        <w:tc>
          <w:tcPr>
            <w:tcW w:type="dxa" w:w="2160"/>
          </w:tcPr>
          <w:p>
            <w:r>
              <w:t>**+45.5%**</w:t>
            </w:r>
          </w:p>
        </w:tc>
      </w:tr>
      <w:tr>
        <w:tc>
          <w:tcPr>
            <w:tcW w:type="dxa" w:w="2160"/>
          </w:tcPr>
          <w:p>
            <w:r>
              <w:t>avg\_H</w:t>
            </w:r>
          </w:p>
        </w:tc>
        <w:tc>
          <w:tcPr>
            <w:tcW w:type="dxa" w:w="2160"/>
          </w:tcPr>
          <w:p>
            <w:r>
              <w:t>0.0000</w:t>
            </w:r>
          </w:p>
        </w:tc>
        <w:tc>
          <w:tcPr>
            <w:tcW w:type="dxa" w:w="2160"/>
          </w:tcPr>
          <w:p>
            <w:r>
              <w:t>0.0709</w:t>
            </w:r>
          </w:p>
        </w:tc>
        <w:tc>
          <w:tcPr>
            <w:tcW w:type="dxa" w:w="2160"/>
          </w:tcPr>
          <w:p>
            <w:r>
              <w:t>—</w:t>
            </w:r>
          </w:p>
        </w:tc>
      </w:tr>
      <w:tr>
        <w:tc>
          <w:tcPr>
            <w:tcW w:type="dxa" w:w="2160"/>
          </w:tcPr>
          <w:p>
            <w:r>
              <w:t>avg\_context</w:t>
            </w:r>
          </w:p>
        </w:tc>
        <w:tc>
          <w:tcPr>
            <w:tcW w:type="dxa" w:w="2160"/>
          </w:tcPr>
          <w:p>
            <w:r>
              <w:t>594 chars</w:t>
            </w:r>
          </w:p>
        </w:tc>
        <w:tc>
          <w:tcPr>
            <w:tcW w:type="dxa" w:w="2160"/>
          </w:tcPr>
          <w:p>
            <w:r>
              <w:t>1,744 chars</w:t>
            </w:r>
          </w:p>
        </w:tc>
        <w:tc>
          <w:tcPr>
            <w:tcW w:type="dxa" w:w="2160"/>
          </w:tcPr>
          <w:p>
            <w:r>
              <w:t>+194%</w:t>
            </w:r>
          </w:p>
        </w:tc>
      </w:tr>
    </w:tbl>
    <w:p>
      <w:pPr/>
      <w:r>
        <w:rPr>
          <w:b/>
        </w:rPr>
        <w:t>统计显著性检验</w:t>
      </w:r>
      <w:r>
        <w:t>（配对 Bootstrap，5000 次重采样）：</w:t>
      </w:r>
    </w:p>
    <w:p>
      <w:pPr>
        <w:jc w:val="center"/>
      </w:pPr>
      <w:r>
        <w:rPr>
          <w:i/>
          <w:sz w:val="22"/>
        </w:rPr>
        <w:t>\text{均值差 (B3-A)} = +0.052, \quad 95\%\ \text{CI} = [+0.024, +0.080] \tag{11}</w:t>
      </w:r>
    </w:p>
    <w:p>
      <w:pPr/>
      <w:r>
        <w:t>置信区间完全不包含 0，差异具有统计显著性。配对检验直接计算每条查询的 MRR 差值，控制了查询难度带来的方差，检验力强于独立置信区间比较。</w:t>
      </w:r>
    </w:p>
    <w:p>
      <w:pPr/>
      <w:r>
        <w:rPr>
          <w:b/>
        </w:rPr>
        <w:t>小样本初步验证</w:t>
      </w:r>
      <w:r>
        <w:t>（n=500，429 有效 QA）的结论与大样本完全一致：MRR +16.1%，EM +37.8%，CI 不包含 0。效应量从 +16.1% 收窄到 +10.9% 属正常现象——小样本往往高估效应量，大样本的 +10.9% 是更保守、更可信的真实估计。两个样本规模下结论方向完全一致，排除了采样偶然性。</w:t>
      </w:r>
    </w:p>
    <w:p>
      <w:pPr/>
      <w:r>
        <w:rPr>
          <w:b/>
        </w:rPr>
        <w:t>结论</w:t>
      </w:r>
      <w:r>
        <w:t>：在相同管线框架下，仅替换社区检测算法（标准 Leiden → 约束 Leiden），SP-GraphRAG 在 MRR、P@5、R@5、NDCG@10、EM、Token F1 所有检索和问答指标上均显著优于原版 GraphRAG。</w:t>
      </w:r>
    </w:p>
    <w:p>
      <w:pPr>
        <w:pStyle w:val="Heading2"/>
      </w:pPr>
      <w:r>
        <w:t>4.6 完整系统性能（RQ4）</w:t>
      </w:r>
    </w:p>
    <w:p>
      <w:pPr/>
      <w:r>
        <w:rPr>
          <w:b/>
        </w:rPr>
        <w:t>表 4.2：各系统性能全对比（n=500，429 有效 QA）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系统</w:t>
            </w:r>
          </w:p>
        </w:tc>
        <w:tc>
          <w:tcPr>
            <w:tcW w:type="dxa" w:w="1234"/>
          </w:tcPr>
          <w:p>
            <w:r>
              <w:rPr>
                <w:b/>
              </w:rPr>
              <w:t>MRR</w:t>
            </w:r>
          </w:p>
        </w:tc>
        <w:tc>
          <w:tcPr>
            <w:tcW w:type="dxa" w:w="1234"/>
          </w:tcPr>
          <w:p>
            <w:r>
              <w:rPr>
                <w:b/>
              </w:rPr>
              <w:t>P@5</w:t>
            </w:r>
          </w:p>
        </w:tc>
        <w:tc>
          <w:tcPr>
            <w:tcW w:type="dxa" w:w="1234"/>
          </w:tcPr>
          <w:p>
            <w:r>
              <w:rPr>
                <w:b/>
              </w:rPr>
              <w:t>R@5</w:t>
            </w:r>
          </w:p>
        </w:tc>
        <w:tc>
          <w:tcPr>
            <w:tcW w:type="dxa" w:w="1234"/>
          </w:tcPr>
          <w:p>
            <w:r>
              <w:rPr>
                <w:b/>
              </w:rPr>
              <w:t>NDCG@10</w:t>
            </w:r>
          </w:p>
        </w:tc>
        <w:tc>
          <w:tcPr>
            <w:tcW w:type="dxa" w:w="1234"/>
          </w:tcPr>
          <w:p>
            <w:r>
              <w:rPr>
                <w:b/>
              </w:rPr>
              <w:t>EM</w:t>
            </w:r>
          </w:p>
        </w:tc>
        <w:tc>
          <w:tcPr>
            <w:tcW w:type="dxa" w:w="1234"/>
          </w:tcPr>
          <w:p>
            <w:r>
              <w:rPr>
                <w:b/>
              </w:rPr>
              <w:t>avg\_context</w:t>
            </w:r>
          </w:p>
        </w:tc>
      </w:tr>
      <w:tr>
        <w:tc>
          <w:tcPr>
            <w:tcW w:type="dxa" w:w="1234"/>
          </w:tcPr>
          <w:p>
            <w:r>
              <w:t>[A+VS] 标准 Leiden，TopDown</w:t>
            </w:r>
          </w:p>
        </w:tc>
        <w:tc>
          <w:tcPr>
            <w:tcW w:type="dxa" w:w="1234"/>
          </w:tcPr>
          <w:p>
            <w:r>
              <w:t>0.435</w:t>
            </w:r>
          </w:p>
        </w:tc>
        <w:tc>
          <w:tcPr>
            <w:tcW w:type="dxa" w:w="1234"/>
          </w:tcPr>
          <w:p>
            <w:r>
              <w:t>0.116</w:t>
            </w:r>
          </w:p>
        </w:tc>
        <w:tc>
          <w:tcPr>
            <w:tcW w:type="dxa" w:w="1234"/>
          </w:tcPr>
          <w:p>
            <w:r>
              <w:t>0.254</w:t>
            </w:r>
          </w:p>
        </w:tc>
        <w:tc>
          <w:tcPr>
            <w:tcW w:type="dxa" w:w="1234"/>
          </w:tcPr>
          <w:p>
            <w:r>
              <w:t>0.278</w:t>
            </w:r>
          </w:p>
        </w:tc>
        <w:tc>
          <w:tcPr>
            <w:tcW w:type="dxa" w:w="1234"/>
          </w:tcPr>
          <w:p>
            <w:r>
              <w:t>0.098</w:t>
            </w:r>
          </w:p>
        </w:tc>
        <w:tc>
          <w:tcPr>
            <w:tcW w:type="dxa" w:w="1234"/>
          </w:tcPr>
          <w:p>
            <w:r>
              <w:t>594 chars</w:t>
            </w:r>
          </w:p>
        </w:tc>
      </w:tr>
      <w:tr>
        <w:tc>
          <w:tcPr>
            <w:tcW w:type="dxa" w:w="1234"/>
          </w:tcPr>
          <w:p>
            <w:r>
              <w:t>[B3+VS] 约束 Leiden，TopDown</w:t>
            </w:r>
          </w:p>
        </w:tc>
        <w:tc>
          <w:tcPr>
            <w:tcW w:type="dxa" w:w="1234"/>
          </w:tcPr>
          <w:p>
            <w:r>
              <w:t>0.495</w:t>
            </w:r>
          </w:p>
        </w:tc>
        <w:tc>
          <w:tcPr>
            <w:tcW w:type="dxa" w:w="1234"/>
          </w:tcPr>
          <w:p>
            <w:r>
              <w:t>0.167</w:t>
            </w:r>
          </w:p>
        </w:tc>
        <w:tc>
          <w:tcPr>
            <w:tcW w:type="dxa" w:w="1234"/>
          </w:tcPr>
          <w:p>
            <w:r>
              <w:t>0.352</w:t>
            </w:r>
          </w:p>
        </w:tc>
        <w:tc>
          <w:tcPr>
            <w:tcW w:type="dxa" w:w="1234"/>
          </w:tcPr>
          <w:p>
            <w:r>
              <w:t>0.353</w:t>
            </w:r>
          </w:p>
        </w:tc>
        <w:tc>
          <w:tcPr>
            <w:tcW w:type="dxa" w:w="1234"/>
          </w:tcPr>
          <w:p>
            <w:r>
              <w:t>0.135</w:t>
            </w:r>
          </w:p>
        </w:tc>
        <w:tc>
          <w:tcPr>
            <w:tcW w:type="dxa" w:w="1234"/>
          </w:tcPr>
          <w:p>
            <w:r>
              <w:t>1,744 chars</w:t>
            </w:r>
          </w:p>
        </w:tc>
      </w:tr>
      <w:tr>
        <w:tc>
          <w:tcPr>
            <w:tcW w:type="dxa" w:w="1234"/>
          </w:tcPr>
          <w:p>
            <w:r>
              <w:t>[C3+VS] 约束 Leiden，双路径</w:t>
            </w:r>
          </w:p>
        </w:tc>
        <w:tc>
          <w:tcPr>
            <w:tcW w:type="dxa" w:w="1234"/>
          </w:tcPr>
          <w:p>
            <w:r>
              <w:t>**0.613**</w:t>
            </w:r>
          </w:p>
        </w:tc>
        <w:tc>
          <w:tcPr>
            <w:tcW w:type="dxa" w:w="1234"/>
          </w:tcPr>
          <w:p>
            <w:r>
              <w:t>**0.263**</w:t>
            </w:r>
          </w:p>
        </w:tc>
        <w:tc>
          <w:tcPr>
            <w:tcW w:type="dxa" w:w="1234"/>
          </w:tcPr>
          <w:p>
            <w:r>
              <w:t>**0.538**</w:t>
            </w:r>
          </w:p>
        </w:tc>
        <w:tc>
          <w:tcPr>
            <w:tcW w:type="dxa" w:w="1234"/>
          </w:tcPr>
          <w:p>
            <w:r>
              <w:t>**0.508**</w:t>
            </w:r>
          </w:p>
        </w:tc>
        <w:tc>
          <w:tcPr>
            <w:tcW w:type="dxa" w:w="1234"/>
          </w:tcPr>
          <w:p>
            <w:r>
              <w:t>**0.329**</w:t>
            </w:r>
          </w:p>
        </w:tc>
        <w:tc>
          <w:tcPr>
            <w:tcW w:type="dxa" w:w="1234"/>
          </w:tcPr>
          <w:p>
            <w:r>
              <w:t>3,000 chars</w:t>
            </w:r>
          </w:p>
        </w:tc>
      </w:tr>
      <w:tr>
        <w:tc>
          <w:tcPr>
            <w:tcW w:type="dxa" w:w="1234"/>
          </w:tcPr>
          <w:p>
            <w:r>
              <w:t>[D+V] 纯段落向量检索</w:t>
            </w:r>
          </w:p>
        </w:tc>
        <w:tc>
          <w:tcPr>
            <w:tcW w:type="dxa" w:w="1234"/>
          </w:tcPr>
          <w:p>
            <w:r>
              <w:t>0.605</w:t>
            </w:r>
          </w:p>
        </w:tc>
        <w:tc>
          <w:tcPr>
            <w:tcW w:type="dxa" w:w="1234"/>
          </w:tcPr>
          <w:p>
            <w:r>
              <w:t>0.255</w:t>
            </w:r>
          </w:p>
        </w:tc>
        <w:tc>
          <w:tcPr>
            <w:tcW w:type="dxa" w:w="1234"/>
          </w:tcPr>
          <w:p>
            <w:r>
              <w:t>0.514</w:t>
            </w:r>
          </w:p>
        </w:tc>
        <w:tc>
          <w:tcPr>
            <w:tcW w:type="dxa" w:w="1234"/>
          </w:tcPr>
          <w:p>
            <w:r>
              <w:t>0.468</w:t>
            </w:r>
          </w:p>
        </w:tc>
        <w:tc>
          <w:tcPr>
            <w:tcW w:type="dxa" w:w="1234"/>
          </w:tcPr>
          <w:p>
            <w:r>
              <w:t>0.352</w:t>
            </w:r>
          </w:p>
        </w:tc>
        <w:tc>
          <w:tcPr>
            <w:tcW w:type="dxa" w:w="1234"/>
          </w:tcPr>
          <w:p>
            <w:r>
              <w:t>3,000 chars</w:t>
            </w:r>
          </w:p>
        </w:tc>
      </w:tr>
    </w:tbl>
    <w:p>
      <w:pPr/>
      <w:r>
        <w:t>完整系统 [C3+VS]（约束 Leiden + TopDown + BottomUp 双路径）在 MRR（0.613 vs 0.605）、R@5（0.538 vs 0.514）和 NDCG@10（0.508 vs 0.468）上均优于纯段落检索 [D+V]，说明社区结构引导的 TopDown 路径提供了纯段落检索无法覆盖的跨文档语义上下文，两条路径形成有效互补。</w:t>
      </w:r>
    </w:p>
    <w:p>
      <w:pPr/>
      <w:r>
        <w:t>[B3+VS] vs [A+VS] 的上下文长度差异值得注意：约束 Leiden 产生 10 层层次结构（vs 标准的 3 层），向量检索在更丰富的层次中命中更多相关社区，每个命中社区的摘要因物理纯净而质量更高，最终提供了约 3 倍更长的高质量上下文（594 → 1,744 chars）。</w:t>
      </w:r>
    </w:p>
    <w:p>
      <w:pPr>
        <w:pStyle w:val="Heading2"/>
      </w:pPr>
      <w:r>
        <w:t>4.7 传导机制验证（RQ5）</w:t>
      </w:r>
    </w:p>
    <w:p>
      <w:pPr/>
      <w:r>
        <w:rPr>
          <w:b/>
        </w:rPr>
        <w:t>研究问题</w:t>
      </w:r>
      <w:r>
        <w:t>：物理约束的价值是如何从社区检测传导到检索精度提升的？</w:t>
      </w:r>
    </w:p>
    <w:p>
      <w:pPr/>
      <w:r>
        <w:rPr>
          <w:b/>
        </w:rPr>
        <w:t>实验设计</w:t>
      </w:r>
      <w:r>
        <w:t>。在向量检索框架下，对比有摘要（使用 LLM 生成的社区摘要）和无摘要（仅用实体列表作为社区表示）两种条件下，标准 Leiden 和约束 Leiden 的检索精度差异。</w:t>
      </w:r>
    </w:p>
    <w:p>
      <w:pPr/>
      <w:r>
        <w:rPr>
          <w:b/>
        </w:rPr>
        <w:t>表 4.3：有无摘要对检索精度的影响（n=500，429 有效 QA）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系统</w:t>
            </w:r>
          </w:p>
        </w:tc>
        <w:tc>
          <w:tcPr>
            <w:tcW w:type="dxa" w:w="2160"/>
          </w:tcPr>
          <w:p>
            <w:r>
              <w:rPr>
                <w:b/>
              </w:rPr>
              <w:t>无摘要 MRR</w:t>
            </w:r>
          </w:p>
        </w:tc>
        <w:tc>
          <w:tcPr>
            <w:tcW w:type="dxa" w:w="2160"/>
          </w:tcPr>
          <w:p>
            <w:r>
              <w:rPr>
                <w:b/>
              </w:rPr>
              <w:t>有摘要 MRR</w:t>
            </w:r>
          </w:p>
        </w:tc>
        <w:tc>
          <w:tcPr>
            <w:tcW w:type="dxa" w:w="2160"/>
          </w:tcPr>
          <w:p>
            <w:r>
              <w:rPr>
                <w:b/>
              </w:rPr>
              <w:t>摘要收益</w:t>
            </w:r>
          </w:p>
        </w:tc>
      </w:tr>
      <w:tr>
        <w:tc>
          <w:tcPr>
            <w:tcW w:type="dxa" w:w="2160"/>
          </w:tcPr>
          <w:p>
            <w:r>
              <w:t>标准 Leiden（A）</w:t>
            </w:r>
          </w:p>
        </w:tc>
        <w:tc>
          <w:tcPr>
            <w:tcW w:type="dxa" w:w="2160"/>
          </w:tcPr>
          <w:p>
            <w:r>
              <w:t>0.423</w:t>
            </w:r>
          </w:p>
        </w:tc>
        <w:tc>
          <w:tcPr>
            <w:tcW w:type="dxa" w:w="2160"/>
          </w:tcPr>
          <w:p>
            <w:r>
              <w:t>0.435</w:t>
            </w:r>
          </w:p>
        </w:tc>
        <w:tc>
          <w:tcPr>
            <w:tcW w:type="dxa" w:w="2160"/>
          </w:tcPr>
          <w:p>
            <w:r>
              <w:t>+2.8%</w:t>
            </w:r>
          </w:p>
        </w:tc>
      </w:tr>
      <w:tr>
        <w:tc>
          <w:tcPr>
            <w:tcW w:type="dxa" w:w="2160"/>
          </w:tcPr>
          <w:p>
            <w:r>
              <w:t>约束 Leiden（B3）</w:t>
            </w:r>
          </w:p>
        </w:tc>
        <w:tc>
          <w:tcPr>
            <w:tcW w:type="dxa" w:w="2160"/>
          </w:tcPr>
          <w:p>
            <w:r>
              <w:t>0.446</w:t>
            </w:r>
          </w:p>
        </w:tc>
        <w:tc>
          <w:tcPr>
            <w:tcW w:type="dxa" w:w="2160"/>
          </w:tcPr>
          <w:p>
            <w:r>
              <w:t>0.495</w:t>
            </w:r>
          </w:p>
        </w:tc>
        <w:tc>
          <w:tcPr>
            <w:tcW w:type="dxa" w:w="2160"/>
          </w:tcPr>
          <w:p>
            <w:r>
              <w:t>+10.9%</w:t>
            </w:r>
          </w:p>
        </w:tc>
      </w:tr>
      <w:tr>
        <w:tc>
          <w:tcPr>
            <w:tcW w:type="dxa" w:w="2160"/>
          </w:tcPr>
          <w:p>
            <w:r>
              <w:t>收益倍数</w:t>
            </w:r>
          </w:p>
        </w:tc>
        <w:tc>
          <w:tcPr>
            <w:tcW w:type="dxa" w:w="2160"/>
          </w:tcPr>
          <w:p>
            <w:r>
              <w:t>—</w:t>
            </w:r>
          </w:p>
        </w:tc>
        <w:tc>
          <w:tcPr>
            <w:tcW w:type="dxa" w:w="2160"/>
          </w:tcPr>
          <w:p>
            <w:r>
              <w:t>—</w:t>
            </w:r>
          </w:p>
        </w:tc>
        <w:tc>
          <w:tcPr>
            <w:tcW w:type="dxa" w:w="2160"/>
          </w:tcPr>
          <w:p>
            <w:r>
              <w:t>**3.9×**</w:t>
            </w:r>
          </w:p>
        </w:tc>
      </w:tr>
    </w:tbl>
    <w:p>
      <w:pPr/>
      <w:r>
        <w:t>约束 Leiden 从 LLM 摘要中获得的检索收益（+10.9%）是标准 Leiden（+2.8%）的 3.9 倍。这一结果有力支持了如下传导链条假设：</w:t>
      </w:r>
    </w:p>
    <w:p>
      <w:pPr>
        <w:jc w:val="center"/>
      </w:pPr>
      <w:r>
        <w:rPr>
          <w:i/>
          <w:sz w:val="22"/>
        </w:rPr>
        <w:t>\underbrace{\text{物理纯净社区}}_{\text{约束 Leiden 保证}} \rightarrow \underbrace{\text{更连贯的 LLM 摘要}}_{\text{摘要收益 3.9×}} \rightarrow \underbrace{\text{向量检索精度提升}}_{\text{MRR +10.9\%}} \tag{12}</w:t>
      </w:r>
    </w:p>
    <w:p>
      <w:pPr/>
      <w:r>
        <w:t>值得注意的是，即使在无摘要条件下，约束 Leiden（0.446）也优于标准 Leiden（0.423），这源于约束 Leiden 产生的更丰富层次结构（10 层 vs 3 层）在向量化实体列表检索时提供了更细粒度的层次组织。</w:t>
      </w:r>
    </w:p>
    <w:p>
      <w:pPr>
        <w:pStyle w:val="Heading2"/>
      </w:pPr>
      <w:r>
        <w:t>4.8 问题类型分层分析（RQ6）</w:t>
      </w:r>
    </w:p>
    <w:p>
      <w:pPr/>
      <w:r>
        <w:rPr>
          <w:b/>
        </w:rPr>
        <w:t>研究问题</w:t>
      </w:r>
      <w:r>
        <w:t>：物理约束对不同类型问题的改善效果是否具有选择性？</w:t>
      </w:r>
    </w:p>
    <w:p>
      <w:pPr/>
      <w:r>
        <w:rPr>
          <w:b/>
        </w:rPr>
        <w:t>实验设计</w:t>
      </w:r>
      <w:r>
        <w:t>。将 881 条有效 QA 按问题类型分组，分别计算配对 MRR 差值及其 Bootstrap CI。</w:t>
      </w:r>
    </w:p>
    <w:p>
      <w:pPr/>
      <w:r>
        <w:rPr>
          <w:b/>
        </w:rPr>
        <w:t>表 4.4：问题类型分层配对 Bootstrap 检验（n=881）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问题类型</w:t>
            </w:r>
          </w:p>
        </w:tc>
        <w:tc>
          <w:tcPr>
            <w:tcW w:type="dxa" w:w="1728"/>
          </w:tcPr>
          <w:p>
            <w:r>
              <w:rPr>
                <w:b/>
              </w:rPr>
              <w:t>均值差 (B3-A)</w:t>
            </w:r>
          </w:p>
        </w:tc>
        <w:tc>
          <w:tcPr>
            <w:tcW w:type="dxa" w:w="1728"/>
          </w:tcPr>
          <w:p>
            <w:r>
              <w:rPr>
                <w:b/>
              </w:rPr>
              <w:t>95% CI</w:t>
            </w:r>
          </w:p>
        </w:tc>
        <w:tc>
          <w:tcPr>
            <w:tcW w:type="dxa" w:w="1728"/>
          </w:tcPr>
          <w:p>
            <w:r>
              <w:rPr>
                <w:b/>
              </w:rPr>
              <w:t>统计显著</w:t>
            </w:r>
          </w:p>
        </w:tc>
        <w:tc>
          <w:tcPr>
            <w:tcW w:type="dxa" w:w="1728"/>
          </w:tcPr>
          <w:p>
            <w:r>
              <w:rPr>
                <w:b/>
              </w:rPr>
              <w:t>n</w:t>
            </w:r>
          </w:p>
        </w:tc>
      </w:tr>
      <w:tr>
        <w:tc>
          <w:tcPr>
            <w:tcW w:type="dxa" w:w="1728"/>
          </w:tcPr>
          <w:p>
            <w:r>
              <w:t>temporal\_query（时序类）</w:t>
            </w:r>
          </w:p>
        </w:tc>
        <w:tc>
          <w:tcPr>
            <w:tcW w:type="dxa" w:w="1728"/>
          </w:tcPr>
          <w:p>
            <w:r>
              <w:t>+0.0918</w:t>
            </w:r>
          </w:p>
        </w:tc>
        <w:tc>
          <w:tcPr>
            <w:tcW w:type="dxa" w:w="1728"/>
          </w:tcPr>
          <w:p>
            <w:r>
              <w:t>[+0.045, +0.139]</w:t>
            </w:r>
          </w:p>
        </w:tc>
        <w:tc>
          <w:tcPr>
            <w:tcW w:type="dxa" w:w="1728"/>
          </w:tcPr>
          <w:p>
            <w:r>
              <w:t>✅</w:t>
            </w:r>
          </w:p>
        </w:tc>
        <w:tc>
          <w:tcPr>
            <w:tcW w:type="dxa" w:w="1728"/>
          </w:tcPr>
          <w:p>
            <w:r>
              <w:t>236</w:t>
            </w:r>
          </w:p>
        </w:tc>
      </w:tr>
      <w:tr>
        <w:tc>
          <w:tcPr>
            <w:tcW w:type="dxa" w:w="1728"/>
          </w:tcPr>
          <w:p>
            <w:r>
              <w:t>comparison\_query（对比类）</w:t>
            </w:r>
          </w:p>
        </w:tc>
        <w:tc>
          <w:tcPr>
            <w:tcW w:type="dxa" w:w="1728"/>
          </w:tcPr>
          <w:p>
            <w:r>
              <w:t>+0.0551</w:t>
            </w:r>
          </w:p>
        </w:tc>
        <w:tc>
          <w:tcPr>
            <w:tcW w:type="dxa" w:w="1728"/>
          </w:tcPr>
          <w:p>
            <w:r>
              <w:t>[+0.006, +0.104]</w:t>
            </w:r>
          </w:p>
        </w:tc>
        <w:tc>
          <w:tcPr>
            <w:tcW w:type="dxa" w:w="1728"/>
          </w:tcPr>
          <w:p>
            <w:r>
              <w:t>✅（边界）</w:t>
            </w:r>
          </w:p>
        </w:tc>
        <w:tc>
          <w:tcPr>
            <w:tcW w:type="dxa" w:w="1728"/>
          </w:tcPr>
          <w:p>
            <w:r>
              <w:t>336</w:t>
            </w:r>
          </w:p>
        </w:tc>
      </w:tr>
      <w:tr>
        <w:tc>
          <w:tcPr>
            <w:tcW w:type="dxa" w:w="1728"/>
          </w:tcPr>
          <w:p>
            <w:r>
              <w:t>inference\_query（推理类）</w:t>
            </w:r>
          </w:p>
        </w:tc>
        <w:tc>
          <w:tcPr>
            <w:tcW w:type="dxa" w:w="1728"/>
          </w:tcPr>
          <w:p>
            <w:r>
              <w:t>+0.0172</w:t>
            </w:r>
          </w:p>
        </w:tc>
        <w:tc>
          <w:tcPr>
            <w:tcW w:type="dxa" w:w="1728"/>
          </w:tcPr>
          <w:p>
            <w:r>
              <w:t>[-0.033, +0.067]</w:t>
            </w:r>
          </w:p>
        </w:tc>
        <w:tc>
          <w:tcPr>
            <w:tcW w:type="dxa" w:w="1728"/>
          </w:tcPr>
          <w:p>
            <w:r>
              <w:t>—</w:t>
            </w:r>
          </w:p>
        </w:tc>
        <w:tc>
          <w:tcPr>
            <w:tcW w:type="dxa" w:w="1728"/>
          </w:tcPr>
          <w:p>
            <w:r>
              <w:t>309</w:t>
            </w:r>
          </w:p>
        </w:tc>
      </w:tr>
      <w:tr>
        <w:tc>
          <w:tcPr>
            <w:tcW w:type="dxa" w:w="1728"/>
          </w:tcPr>
          <w:p>
            <w:r>
              <w:t>整体</w:t>
            </w:r>
          </w:p>
        </w:tc>
        <w:tc>
          <w:tcPr>
            <w:tcW w:type="dxa" w:w="1728"/>
          </w:tcPr>
          <w:p>
            <w:r>
              <w:t>+0.0516</w:t>
            </w:r>
          </w:p>
        </w:tc>
        <w:tc>
          <w:tcPr>
            <w:tcW w:type="dxa" w:w="1728"/>
          </w:tcPr>
          <w:p>
            <w:r>
              <w:t>[+0.024, +0.080]</w:t>
            </w:r>
          </w:p>
        </w:tc>
        <w:tc>
          <w:tcPr>
            <w:tcW w:type="dxa" w:w="1728"/>
          </w:tcPr>
          <w:p>
            <w:r>
              <w:t>✅</w:t>
            </w:r>
          </w:p>
        </w:tc>
        <w:tc>
          <w:tcPr>
            <w:tcW w:type="dxa" w:w="1728"/>
          </w:tcPr>
          <w:p>
            <w:r>
              <w:t>881</w:t>
            </w:r>
          </w:p>
        </w:tc>
      </w:tr>
    </w:tbl>
    <w:p>
      <w:pPr/>
      <w:r>
        <w:rPr>
          <w:b/>
        </w:rPr>
        <w:t>发现与解释</w:t>
      </w:r>
      <w:r>
        <w:t>：</w:t>
      </w:r>
    </w:p>
    <w:p>
      <w:pPr/>
      <w:r>
        <w:rPr>
          <w:b/>
        </w:rPr>
        <w:t>时序类问题获益最大</w:t>
      </w:r>
      <w:r>
        <w:t>（+20.9%，p&lt;0.05）。时序问题需要找到特定时间点的具体事件描述（如"A 公司于某年某月发布了什么产品"），答案高度集中于单篇文章的特定段落。物理约束将同段落的实体聚合，社区摘要主题聚焦，向量检索命中精确，因此时序类问题从物理约束中获益最大。</w:t>
      </w:r>
    </w:p>
    <w:p>
      <w:pPr/>
      <w:r>
        <w:rPr>
          <w:b/>
        </w:rPr>
        <w:t>对比类问题显著改善</w:t>
      </w:r>
      <w:r>
        <w:t>（+10.8%，p&lt;0.05）。对比问题需要分别找到两个实体的具体属性进行比较，属于"精确查找"类问题，类似时序类，受益于物理纯净带来的摘要精确性。</w:t>
      </w:r>
    </w:p>
    <w:p>
      <w:pPr/>
      <w:r>
        <w:rPr>
          <w:b/>
        </w:rPr>
        <w:t>推理类问题无显著改善</w:t>
      </w:r>
      <w:r>
        <w:t>（+4.1%，CI 包含 0）。多跳推理问题需要跨文档将多个证据链条连接起来，要求社区能同时覆盖跨文档的证据节点。物理约束在低层保持了纯净性，但高层的跨文档合并能力在当前退火参数下对推理类问题的多跳证据整合改善有限。</w:t>
      </w:r>
    </w:p>
    <w:p>
      <w:pPr/>
      <w:r>
        <w:t>这种选择性效果不是方法缺陷，而是物理约束设计意图的直接体现：它优先改善需要局部精确定位的问题（时序类、对比类），对需要跨文档推理的问题保持中性（既不显著提升也不显著下降）。</w:t>
      </w:r>
    </w:p>
    <w:p>
      <w:pPr>
        <w:pStyle w:val="Heading1"/>
      </w:pPr>
      <w:r>
        <w:t>第五章 讨论</w:t>
      </w:r>
    </w:p>
    <w:p>
      <w:pPr>
        <w:pStyle w:val="Heading2"/>
      </w:pPr>
      <w:r>
        <w:t>5.1 主要发现的理论意义</w:t>
      </w:r>
    </w:p>
    <w:p>
      <w:pPr/>
      <w:r>
        <w:t>本文的实验结果揭示了一个重要的理论发现：GraphRAG 社区检测中的物理结构信息是一个被忽视但有价值的信号，且利用这一信号不以牺牲检索质量为代价。具体而言：</w:t>
      </w:r>
    </w:p>
    <w:p>
      <w:pPr/>
      <w:r>
        <w:t>第一，物理约束通过摘要质量间接传导至检索精度，而非直接影响图结构。传导机制实验（表 4.3）清晰显示，约束 Leiden 从摘要中获得 3.9 倍于标准 Leiden 的收益，证明物理纯净社区产生的 LLM 摘要在语义空间中与查询的对齐更准确。这一传导机制解释了为何在向量检索框架下方法有效（因为向量检索能捕捉语义对齐的改善），而在 TF-IDF 框架下方法无效（因为 TF-IDF 无法利用语义连贯性的改善）。</w:t>
      </w:r>
    </w:p>
    <w:p>
      <w:pPr/>
      <w:r>
        <w:t>第二，约束 Leiden 产生的更丰富层次结构（10 层 vs 3 层）本身即带来检索收益。即使在无摘要条件下，约束 Leiden 也优于标准 Leiden（MRR 0.446 vs 0.423），说明物理约束的副效应——产生更多社区和更深层次——为向量检索提供了更细粒度的信息组织，使检索系统能在不同抽象层级上找到与查询匹配的社区。</w:t>
      </w:r>
    </w:p>
    <w:p>
      <w:pPr/>
      <w:r>
        <w:t>第三，问题类型的选择性改善效果与方法的物理约束设计意图完全吻合。时序类和对比类问题需要精确定位特定段落内容，正是物理纯净社区的优势所在；推理类问题需要跨文档证据整合，物理约束在低层的限制作用对此类问题的帮助有限。这种一致性增强了对方法理论基础的信心。</w:t>
      </w:r>
    </w:p>
    <w:p>
      <w:pPr/>
      <w:r>
        <w:t>上述分析揭示了方法有效性的内在逻辑，但同时也引出一个重要的实践问题：物理约束的收益是否依赖特定的检索框架？下面我们通过对比不同检索方式下的实验结果来回答这一问题。</w:t>
      </w:r>
    </w:p>
    <w:p>
      <w:pPr>
        <w:pStyle w:val="Heading2"/>
      </w:pPr>
      <w:r>
        <w:t>5.2 向量检索框架的必要性</w:t>
      </w:r>
    </w:p>
    <w:p>
      <w:pPr/>
      <w:r>
        <w:t>在早期实验（v9/v10，TF-IDF 检索框架）中，约束 Leiden 在大样本下的效果不稳定（MRR -4.2%）。根本原因是稀释效应：约束 Leiden 产生的社区数量从 35K 增至 90-137K，在 TF-IDF 框架下正确答案所在社区被更多无关社区的文本表示稀释，关键词匹配的信噪比下降。TF-IDF 只能进行词频统计式匹配，无法理解摘要的语义内容。</w:t>
      </w:r>
    </w:p>
    <w:p>
      <w:pPr/>
      <w:r>
        <w:t>向量检索通过语义理解进行相似度计算，能够捕捉物理纯净社区摘要的语义连贯性优势。物理纯净社区的摘要在语义空间中与相关查询的对齐更准确（因为摘要描述的是单一主题而非混杂内容），这一优势在向量空间中被有效利用，从而补偿了社区数量增加带来的检索空间扩大。</w:t>
      </w:r>
    </w:p>
    <w:p>
      <w:pPr/>
      <w:r>
        <w:rPr>
          <w:b/>
        </w:rPr>
        <w:t>实践启示</w:t>
      </w:r>
      <w:r>
        <w:t>：SP-GraphRAG 依赖向量检索才能充分发挥物理约束的优势。在仅有 TF-IDF 检索条件的部署环境中，方法效果可能受限。这一发现为方法的部署条件提供了明确指导。</w:t>
      </w:r>
    </w:p>
    <w:p>
      <w:pPr>
        <w:pStyle w:val="Heading2"/>
      </w:pPr>
      <w:r>
        <w:t>5.3 约束 Leiden 与层次结构丰富度的关系</w:t>
      </w:r>
    </w:p>
    <w:p>
      <w:pPr/>
      <w:r>
        <w:t>约束 Leiden 产生的社区数量（90K）和层次数（10 层）均远超标准 Leiden（35K，3 层），这一现象源于物理约束的阻断效应：$\lambda &gt; 0$ 时，来自不同段落的节点合并需要克服更高的门槛（不仅需要模块度收益，还需克服熵惩罚），导致每层聚合的合并数量减少，需要更多层次才能完成全部合并。</w:t>
      </w:r>
    </w:p>
    <w:p>
      <w:pPr/>
      <w:r>
        <w:t>这带来了正面效果：更细粒度的层次结构使向量检索能在不同粒度层次上找到与查询匹配的社区。标准 Leiden 只有 3 层，向量检索的命中层次有限；约束 Leiden 有 10 层，提供了从段落级到主题级的完整粒度梯度，向量检索在更丰富的选择空间中更可能找到与查询粒度匹配的社区层级。</w:t>
      </w:r>
    </w:p>
    <w:p>
      <w:pPr>
        <w:pStyle w:val="Heading2"/>
      </w:pPr>
      <w:r>
        <w:t>5.4 关于推理类问题改善有限的深入分析</w:t>
      </w:r>
    </w:p>
    <w:p>
      <w:pPr/>
      <w:r>
        <w:t>推理类问题无显著改善（+4.1%，CI 包含 0）的机制值得深入理解。多跳推理需要在知识图谱中将来自不同文档的证据链条连接：</w:t>
      </w:r>
    </w:p>
    <w:p>
      <w:pPr>
        <w:jc w:val="center"/>
      </w:pPr>
      <w:r>
        <w:rPr>
          <w:i/>
          <w:sz w:val="22"/>
        </w:rPr>
        <w:t>\text{实体 A} \xrightarrow{\text{文档1}} \text{中间实体 B} \xrightarrow{\text{文档2}} \text{目标实体 C} \tag{13}</w:t>
      </w:r>
    </w:p>
    <w:p>
      <w:pPr/>
      <w:r>
        <w:t>这类推理链条要求社区能同时覆盖跨文档的证据节点。物理约束在低层阻止了跨段落合并，而退火后的高层社区虽然允许跨文档合并，但多跳推理链条所需的中间连接可能仍在被约束的层次范围内。</w:t>
      </w:r>
    </w:p>
    <w:p>
      <w:pPr/>
      <w:r>
        <w:t>未来改进方向包括：动态 $\lambda$ 调度策略，对推理类问题采用更快的退火速率（允许更早的跨文档合并）；或者在 TopDown 检索时优先选择来自多文档的高层社区，为推理类问题提供更好的跨文档证据覆盖。</w:t>
      </w:r>
    </w:p>
    <w:p>
      <w:pPr>
        <w:pStyle w:val="Heading2"/>
      </w:pPr>
      <w:r>
        <w:t>5.5 局限性</w:t>
      </w:r>
    </w:p>
    <w:p>
      <w:pPr/>
      <w:r>
        <w:t>本文研究存在以下局限性：</w:t>
      </w:r>
    </w:p>
    <w:p>
      <w:pPr/>
      <w:r>
        <w:rPr>
          <w:b/>
        </w:rPr>
        <w:t>实体抽取质量</w:t>
      </w:r>
      <w:r>
        <w:t>。本文使用 spaCy 规则式 NER 进行实体抽取，质量低于官方 GraphRAG 的 LLM 驱动抽取。为保证单变量对照，两个系统使用相同的 spaCy 抽取，这保证了差异仅来源于社区检测方法。然而，绝对指标受到 spaCy 抽取质量的上限约束。在更高质量的实体图（LLM 抽取）上，物理约束的效果预期更显著，因为更准确的实体将产生语义质量更高的社区。</w:t>
      </w:r>
    </w:p>
    <w:p>
      <w:pPr/>
      <w:r>
        <w:rPr>
          <w:b/>
        </w:rPr>
        <w:t>单一数据集</w:t>
      </w:r>
      <w:r>
        <w:t>。所有实验在 MultiHop-RAG（新闻领域）上进行。该数据集以短文章（平均约 1000 字）为主，物理约束在文档结构更强的领域（如学术论文、法律文书）预期效果更显著。方法在其他领域的泛化性有待验证。</w:t>
      </w:r>
    </w:p>
    <w:p>
      <w:pPr/>
      <w:r>
        <w:rPr>
          <w:b/>
        </w:rPr>
        <w:t>$\lambda$ 的问答精度曲线不完整</w:t>
      </w:r>
      <w:r>
        <w:t>。受摘要生成 API 成本限制，目前只有 $\lambda = 0$（标准 Leiden）和 $\lambda = 0.003$ 两个参数值的端到端 QA 数据点。$\lambda$-EM 完整曲线未能覆盖 $\lambda = 0.001$ 和 $\lambda = 0.005$，这是实验的一个局限。</w:t>
      </w:r>
    </w:p>
    <w:p>
      <w:pPr/>
      <w:r>
        <w:rPr>
          <w:b/>
        </w:rPr>
        <w:t>摘要质量的直接度量缺失</w:t>
      </w:r>
      <w:r>
        <w:t>。传导机制通过"摘要收益倍数"间接验证，尚未对社区摘要的连贯性进行系统的人工评估或自动化语义一致性评分。未来工作应引入摘要质量的直接评估指标。</w:t>
      </w:r>
    </w:p>
    <w:p>
      <w:pPr/>
      <w:r>
        <w:rPr>
          <w:b/>
        </w:rPr>
        <w:t>向量检索模型的影响</w:t>
      </w:r>
      <w:r>
        <w:t>。当前使用轻量级的 all-MiniLM-L6-v2（384 维）作为向量模型，在更强大的向量模型（如 BGE-Large、E5-Large）下方法效果可能有所变化。物理纯净摘要的语义对齐优势在不同能力的向量模型下是否一致，有待验证。</w:t>
      </w:r>
    </w:p>
    <w:p>
      <w:pPr/>
      <w:r>
        <w:rPr>
          <w:b/>
        </w:rPr>
        <w:t>TF-IDF 检索框架下效果不稳定</w:t>
      </w:r>
      <w:r>
        <w:t>。实验表明，结构熵约束的收益高度依赖向量语义检索框架。在 TF-IDF 关键词检索条件下，约束 Leiden 相对标准 Leiden 的提升不显著甚至略有下降。这说明物理纯净社区的优势主要通过"更连贯摘要→语义向量更对齐"的通路传导，而词袋模型无法捕获这种语义连贯性增益。因此，本方法不适用于以关键词匹配为核心的检索场景。</w:t>
      </w:r>
    </w:p>
    <w:p>
      <w:pPr/>
      <w:r>
        <w:rPr>
          <w:b/>
        </w:rPr>
        <w:t>计算成本</w:t>
      </w:r>
      <w:r>
        <w:t>。引入结构熵惩罚项后，每次社区合并/移动操作需额外计算节点物理来源分布的 Shannon 熵 $H$。对于包含 $N$ 个节点、$K$ 个物理来源的图，单次操作的额外计算复杂度为 $O(K)$（遍历来源分布）。在 MultiHop-RAG 数据集（$N \approx 8000$，$K = 609$）上，约束 Leiden 相比标准 Leiden 的运行时间增加约 15-20%，仍在可接受范围内。然而，在物理来源数量 $K$ 极大（如数万篇文档）的场景下，熵计算开销可能成为瓶颈，需要探索近似计算或分桶策略。</w:t>
      </w:r>
    </w:p>
    <w:p>
      <w:pPr>
        <w:pStyle w:val="Heading1"/>
      </w:pPr>
      <w:r>
        <w:t>第六章 结论与展望</w:t>
      </w:r>
    </w:p>
    <w:p>
      <w:pPr>
        <w:pStyle w:val="Heading2"/>
      </w:pPr>
      <w:r>
        <w:t>6.1 研究总结</w:t>
      </w:r>
    </w:p>
    <w:p>
      <w:pPr/>
      <w:r>
        <w:t>本文提出了 SP-GraphRAG，通过在 Leiden 目标函数中引入结构熵惩罚项 $J = Q - \lambda \cdot H$，配合指数退火策略和 EdgeSchedule 机制，为 GraphRAG 的社区检测引入了物理文档结构感知能力。</w:t>
      </w:r>
    </w:p>
    <w:p>
      <w:pPr/>
      <w:r>
        <w:rPr>
          <w:b/>
        </w:rPr>
        <w:t>方法创新</w:t>
      </w:r>
      <w:r>
        <w:t>。据我们所知，本文首次将物理文档来源信息纳入 GraphRAG 社区检测的优化目标，提出了结构熵惩罚的约束 Leiden 算法，设计了退火调度和 EdgeSchedule 两个关键工程组件。退火策略实现了"底层物理纯净、高层语义自由"的渐进式控制，EdgeSchedule 通过量级分析解决了原始图孤岛问题，使约束机制在工程层面得以有效运作。</w:t>
      </w:r>
    </w:p>
    <w:p>
      <w:pPr/>
      <w:r>
        <w:rPr>
          <w:b/>
        </w:rPr>
        <w:t>实验验证</w:t>
      </w:r>
      <w:r>
        <w:t>。在 MultiHop-RAG 数据集上，通过系统消融实验证明约束机制有效（Level-0 纯净率 100%，$H$ 可控），通过大样本配对 Bootstrap 检验（n=881，CI=[+0.024, +0.080]）证明方法显著优于原版 GraphRAG（MRR +10.9%，EM +39.8%）。两个样本规模（n=429 和 n=881）下结论方向完全一致，效应稳定可复现。</w:t>
      </w:r>
    </w:p>
    <w:p>
      <w:pPr/>
      <w:r>
        <w:rPr>
          <w:b/>
        </w:rPr>
        <w:t>机制揭示</w:t>
      </w:r>
      <w:r>
        <w:t>。通过传导机制实验证明"物理纯净社区→更连贯 LLM 摘要→向量检索精度提升"的因果链（摘要收益 3.9×），通过问题类型分层分析揭示约束对时序类（+20.9%）和对比类（+10.8%）问题的选择性改善效果。同时诚实披露方法依赖向量检索框架才能体现优势（TF-IDF 框架下效果不稳定），在推理类多跳问题上无显著改善。</w:t>
      </w:r>
    </w:p>
    <w:p>
      <w:pPr>
        <w:pStyle w:val="Heading2"/>
      </w:pPr>
      <w:r>
        <w:t>6.2 实践意义</w:t>
      </w:r>
    </w:p>
    <w:p>
      <w:pPr/>
      <w:r>
        <w:t>SP-GraphRAG 是一个即插即用的改进方案——只替换社区检测模块，其余管线（实体抽取、摘要生成、向量检索、LLM 问答）完全不变，部署成本极低。在以下应用场景中，SP-GraphRAG 具有直接价值：</w:t>
      </w:r>
    </w:p>
    <w:p>
      <w:pPr/>
      <w:r>
        <w:t>在需要精确定位段落级细节的场景中（如时序查询"某公司在某时间做了什么"、对比查询"A 和 B 在某方面有何不同"），物理纯净社区产生的聚焦摘要能显著提升检索精度。在对可溯源性要求高的场景中（如法律文档分析、医疗文献检索、企业合规审查），Level-0 社区的 100% 物理纯净率保证了检索结果可以追溯到唯一的原始段落来源。在需要增量更新的场景中，物理约束使新增文档的实体倾向于形成独立社区，减少了对已有社区结构的扰动。</w:t>
      </w:r>
    </w:p>
    <w:p>
      <w:pPr>
        <w:pStyle w:val="Heading2"/>
      </w:pPr>
      <w:r>
        <w:t>6.3 未来展望</w:t>
      </w:r>
    </w:p>
    <w:p>
      <w:pPr/>
      <w:r>
        <w:t>基于本文的研究发现和局限性，以下方向值得未来探索：</w:t>
      </w:r>
    </w:p>
    <w:p>
      <w:pPr/>
      <w:r>
        <w:rPr>
          <w:b/>
        </w:rPr>
        <w:t>两阶段检索</w:t>
      </w:r>
      <w:r>
        <w:t>。将社区从"检索单元"变为"候选集过滤器"——先用向量匹配社区摘要确定候选社区，再在该社区内的原始段落上进行精确向量检索，最终返回原始段落给 LLM。这有望在保留社区语义覆盖优势的同时，进一步提升局部精确检索能力。</w:t>
      </w:r>
    </w:p>
    <w:p>
      <w:pPr/>
      <w:r>
        <w:rPr>
          <w:b/>
        </w:rPr>
        <w:t>LLM 实体抽取</w:t>
      </w:r>
      <w:r>
        <w:t>。将 spaCy 替换为 LLM 驱动的实体抽取，在更高质量的知识图谱上验证方法效果。更准确的实体抽取预期将产生更有意义的社区结构，使物理约束的价值更加显著。</w:t>
      </w:r>
    </w:p>
    <w:p>
      <w:pPr/>
      <w:r>
        <w:rPr>
          <w:b/>
        </w:rPr>
        <w:t>多领域验证</w:t>
      </w:r>
      <w:r>
        <w:t>。在法律、医疗、学术论文等文档结构更强的领域验证方法的泛化性。这些领域的文档通常具有更清晰的层次结构（章节、条款、段落），物理约束的价值预期更为显著。</w:t>
      </w:r>
    </w:p>
    <w:p>
      <w:pPr/>
      <w:r>
        <w:rPr>
          <w:b/>
        </w:rPr>
        <w:t>自适应退火</w:t>
      </w:r>
      <w:r>
        <w:t>。根据查询类型或图的拓扑特征动态调整退火速率，对推理类问题采用更快的退火以支持跨文档推理，对时序类和对比类问题保持较慢的退火以维持局部精确性。</w:t>
      </w:r>
    </w:p>
    <w:p>
      <w:pPr/>
      <w:r>
        <w:rPr>
          <w:b/>
        </w:rPr>
        <w:t>摘要质量的直接评估</w:t>
      </w:r>
      <w:r>
        <w:t>。设计摘要连贯性和主题聚焦度的自动评估指标，直接验证"物理纯净社区产生更好摘要"的假设，为传导机制提供更直接的证据支持。</w:t>
      </w:r>
    </w:p>
    <w:p>
      <w:pPr>
        <w:pStyle w:val="Heading1"/>
      </w:pPr>
      <w:r>
        <w:t>参考文献</w:t>
      </w:r>
    </w:p>
    <w:p>
      <w:pPr/>
      <w:r>
        <w:t>[1] Lewis P, Perez E, Piktus A, et al. Retrieval-Augmented Generation for Knowledge-Intensive NLP Tasks[C]. NeurIPS 2020.</w:t>
      </w:r>
    </w:p>
    <w:p>
      <w:pPr/>
      <w:r>
        <w:t>[2] Edge D, Trinh H, Cheng N, et al. From Local to Global: A Graph RAG Approach to Query-Focused Summarization[EB/OL]. arXiv:2404.16130, 2024.</w:t>
      </w:r>
    </w:p>
    <w:p>
      <w:pPr/>
      <w:r>
        <w:t>[3] Traag V A, Waltman L, van Eck N J. From Louvain to Leiden: Guaranteeing Well-Connected Communities[J]. Scientific Reports, 2019, 9: 5233.</w:t>
      </w:r>
    </w:p>
    <w:p>
      <w:pPr/>
      <w:r>
        <w:t>[4] Blondel V D, Guillaume J-L, Lambiotte R, et al. Fast Unfolding of Communities in Large Networks[J]. Journal of Statistical Mechanics: Theory and Experiment, 2008: P10008.</w:t>
      </w:r>
    </w:p>
    <w:p>
      <w:pPr/>
      <w:r>
        <w:t>[5] Li A, Pan Y. Structural Information and Dynamical Complexity of Networks[J]. IEEE Transactions on Information Theory, 2016, 62(6): 3290-3339.</w:t>
      </w:r>
    </w:p>
    <w:p>
      <w:pPr/>
      <w:r>
        <w:t>[6] Sarthi P, Abdullah S, Tuli A, et al. RAPTOR: Recursive Abstractive Processing for Tree-Organized Retrieval[C]. ICLR 2024.</w:t>
      </w:r>
    </w:p>
    <w:p>
      <w:pPr/>
      <w:r>
        <w:t>[7] Gutiérrez B J, McNeal N, Washington C, et al. HippoRAG: Neurobiologically Inspired Long-Term Memory for Large Language Models[C]. NeurIPS 2024.</w:t>
      </w:r>
    </w:p>
    <w:p>
      <w:pPr/>
      <w:r>
        <w:t>[8] Guo Z, Liang L, Long G, et al. LightRAG: Simple and Fast Retrieval-Augmented Generation[C]. EMNLP 2025.</w:t>
      </w:r>
    </w:p>
    <w:p>
      <w:pPr/>
      <w:r>
        <w:t>[9] Tang Y, Yang Y. MultiHop-RAG: Benchmarking Retrieval-Augmented Generation for Multi-Hop Queries[EB/OL]. arXiv:2401.15391, 2024.</w:t>
      </w:r>
    </w:p>
    <w:p>
      <w:pPr/>
      <w:r>
        <w:t>[10] Xian Y, Li P, et al. Community Detection in Large-Scale Complex Networks via Structural Entropy Game[EB/OL]. arXiv:2501.15130, 2025.</w:t>
      </w:r>
    </w:p>
    <w:p>
      <w:pPr/>
      <w:r>
        <w:t>[11] Wang Z, Gao C, Xiao C, et al. Document Segmentation Matters for Retrieval-Augmented Generation[C]//Findings of ACL 2025. Vienna: ACL, 2025: 8063-8075.</w:t>
      </w:r>
    </w:p>
    <w:p>
      <w:pPr/>
      <w:r>
        <w:t>[12] Zhu X, Guo X, Cao S, et al. StructuGraphRAG: Structured Document-Informed Knowledge Graphs for Retrieval-Augmented Generation[C]//Proceedings of the AAAI Symposium Series. 2024, 4(1): 242-251.</w:t>
      </w:r>
    </w:p>
    <w:p>
      <w:pPr/>
      <w:r>
        <w:t>[13] Wang C, Wang F, Onega T. Network Optimization Approach to Delineating Health Care Service Areas: Spatially Constrained Louvain and Leiden Algorithms[J]. Transactions in GIS, 2021, 25(3): 1065-1081.</w:t>
      </w:r>
    </w:p>
    <w:p>
      <w:pPr/>
      <w:r>
        <w:t>[14] Su D, Peng H, Pan Y, et al. A Survey of Structural Entropy: Theory, Methods, and Applications[C]//Proceedings of the 34th International Joint Conference on Artificial Intelligence (IJCAI). Montreal: IJCAI, 2025: 10660-10668.</w:t>
      </w:r>
    </w:p>
    <w:p>
      <w:pPr>
        <w:pStyle w:val="Heading1"/>
      </w:pPr>
      <w:r>
        <w:t>致谢</w:t>
      </w:r>
    </w:p>
    <w:p>
      <w:pPr/>
      <w:r>
        <w:t>感谢导师在研究方向选择和方法设计上的悉心指导；感谢实验室同学在实验过程中的技术支持和讨论；感谢 MultiHop-RAG 数据集的作者公开发布了高质量的评估基准。</w:t>
      </w:r>
    </w:p>
    <w:p>
      <w:pPr/>
      <w:r>
        <w:rPr>
          <w:b/>
        </w:rPr>
        <w:t>AI 辅助声明</w:t>
      </w:r>
      <w:r>
        <w:t>：本文的研究设计、实验执行和数据分析由作者独立完成；论文写作过程中使用了 AI 辅助工具进行文本润色和结构优化。所有实验数据来自真实运行，未使用 AI 生成虚假数据。</w:t>
      </w:r>
    </w:p>
    <w:p>
      <w:pPr/>
      <w:r>
        <w:t>*论文完成日期：2026 年 5 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