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76B" w:rsidRDefault="00ED376B" w:rsidP="00965465">
      <w:pPr>
        <w:spacing w:before="40" w:after="40" w:line="276" w:lineRule="auto"/>
        <w:jc w:val="both"/>
        <w:rPr>
          <w:lang w:val="vi-VN"/>
        </w:rPr>
      </w:pPr>
    </w:p>
    <w:p w:rsidR="008363AD" w:rsidRPr="008363AD" w:rsidRDefault="008363AD" w:rsidP="008363AD">
      <w:pPr>
        <w:pStyle w:val="IWAPaperTitle"/>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Assessment of </w:t>
      </w:r>
      <w:proofErr w:type="spellStart"/>
      <w:r w:rsidRPr="008363AD">
        <w:rPr>
          <w:rFonts w:ascii="Times New Roman" w:eastAsia="Times New Roman" w:hAnsi="Times New Roman" w:cs="Times New Roman"/>
          <w:i/>
          <w:sz w:val="26"/>
          <w:szCs w:val="26"/>
        </w:rPr>
        <w:t>Moringa</w:t>
      </w:r>
      <w:proofErr w:type="spellEnd"/>
      <w:r w:rsidRPr="008363AD">
        <w:rPr>
          <w:rFonts w:ascii="Times New Roman" w:eastAsia="Times New Roman" w:hAnsi="Times New Roman" w:cs="Times New Roman"/>
          <w:i/>
          <w:sz w:val="26"/>
          <w:szCs w:val="26"/>
        </w:rPr>
        <w:t xml:space="preserve"> </w:t>
      </w:r>
      <w:proofErr w:type="spellStart"/>
      <w:r w:rsidRPr="008363AD">
        <w:rPr>
          <w:rFonts w:ascii="Times New Roman" w:eastAsia="Times New Roman" w:hAnsi="Times New Roman" w:cs="Times New Roman"/>
          <w:i/>
          <w:sz w:val="26"/>
          <w:szCs w:val="26"/>
        </w:rPr>
        <w:t>oleifera</w:t>
      </w:r>
      <w:proofErr w:type="spellEnd"/>
      <w:r>
        <w:rPr>
          <w:rFonts w:ascii="Times New Roman" w:eastAsia="Times New Roman" w:hAnsi="Times New Roman" w:cs="Times New Roman"/>
          <w:sz w:val="26"/>
          <w:szCs w:val="26"/>
        </w:rPr>
        <w:t xml:space="preserve"> as a Natural Coagulant for Wastewater in the Philippines</w:t>
      </w:r>
    </w:p>
    <w:p w:rsidR="008363AD" w:rsidRDefault="008363AD" w:rsidP="004A7753">
      <w:pPr>
        <w:pStyle w:val="IWAAuthornames"/>
        <w:spacing w:before="40" w:after="4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Christian R. Orozco</w:t>
      </w:r>
      <w:r w:rsidR="00C36899" w:rsidRPr="004A7753">
        <w:rPr>
          <w:rFonts w:ascii="Times New Roman" w:eastAsia="Times New Roman" w:hAnsi="Times New Roman" w:cs="Times New Roman"/>
          <w:i/>
          <w:sz w:val="22"/>
          <w:szCs w:val="22"/>
        </w:rPr>
        <w:t>*</w:t>
      </w:r>
      <w:r w:rsidR="00EA3554" w:rsidRPr="004A7753">
        <w:rPr>
          <w:rFonts w:ascii="Times New Roman" w:eastAsia="Times New Roman" w:hAnsi="Times New Roman" w:cs="Times New Roman"/>
          <w:i/>
          <w:sz w:val="22"/>
          <w:szCs w:val="22"/>
          <w:vertAlign w:val="superscript"/>
        </w:rPr>
        <w:t>1)</w:t>
      </w:r>
      <w:r w:rsidR="00C36899" w:rsidRPr="004A7753">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Janela</w:t>
      </w:r>
      <w:proofErr w:type="spellEnd"/>
      <w:r>
        <w:rPr>
          <w:rFonts w:ascii="Times New Roman" w:eastAsia="Times New Roman" w:hAnsi="Times New Roman" w:cs="Times New Roman"/>
          <w:i/>
          <w:sz w:val="22"/>
          <w:szCs w:val="22"/>
        </w:rPr>
        <w:t xml:space="preserve"> Marie Manalang</w:t>
      </w:r>
      <w:r w:rsidR="00EA3554" w:rsidRPr="004A7753">
        <w:rPr>
          <w:rFonts w:ascii="Times New Roman" w:eastAsia="Times New Roman" w:hAnsi="Times New Roman" w:cs="Times New Roman"/>
          <w:i/>
          <w:sz w:val="22"/>
          <w:szCs w:val="22"/>
          <w:vertAlign w:val="superscript"/>
        </w:rPr>
        <w:t>2)</w:t>
      </w:r>
      <w:r w:rsidR="00C36899" w:rsidRPr="004A7753">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Robel</w:t>
      </w:r>
      <w:proofErr w:type="spellEnd"/>
      <w:r>
        <w:rPr>
          <w:rFonts w:ascii="Times New Roman" w:eastAsia="Times New Roman" w:hAnsi="Times New Roman" w:cs="Times New Roman"/>
          <w:i/>
          <w:sz w:val="22"/>
          <w:szCs w:val="22"/>
        </w:rPr>
        <w:t xml:space="preserve"> Paulo </w:t>
      </w:r>
      <w:proofErr w:type="spellStart"/>
      <w:r>
        <w:rPr>
          <w:rFonts w:ascii="Times New Roman" w:eastAsia="Times New Roman" w:hAnsi="Times New Roman" w:cs="Times New Roman"/>
          <w:i/>
          <w:sz w:val="22"/>
          <w:szCs w:val="22"/>
        </w:rPr>
        <w:t>Villaos</w:t>
      </w:r>
      <w:proofErr w:type="spellEnd"/>
      <w:r w:rsidRPr="004A7753">
        <w:rPr>
          <w:rFonts w:ascii="Times New Roman" w:eastAsia="Times New Roman" w:hAnsi="Times New Roman" w:cs="Times New Roman"/>
          <w:i/>
          <w:sz w:val="22"/>
          <w:szCs w:val="22"/>
          <w:vertAlign w:val="superscript"/>
        </w:rPr>
        <w:t>)</w:t>
      </w:r>
    </w:p>
    <w:p w:rsidR="00EA3554" w:rsidRPr="004A7753" w:rsidRDefault="008363AD" w:rsidP="008363AD">
      <w:pPr>
        <w:pStyle w:val="IWAAuthornames"/>
        <w:spacing w:before="40" w:after="40"/>
        <w:jc w:val="center"/>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vertAlign w:val="superscript"/>
        </w:rPr>
        <w:t>1)2)3</w:t>
      </w:r>
      <w:proofErr w:type="gramStart"/>
      <w:r>
        <w:rPr>
          <w:rFonts w:ascii="Times New Roman" w:eastAsia="Times New Roman" w:hAnsi="Times New Roman" w:cs="Times New Roman"/>
          <w:b w:val="0"/>
          <w:i/>
          <w:sz w:val="22"/>
          <w:szCs w:val="22"/>
          <w:vertAlign w:val="superscript"/>
        </w:rPr>
        <w:t>)</w:t>
      </w:r>
      <w:r>
        <w:rPr>
          <w:rFonts w:ascii="Times New Roman" w:eastAsia="Times New Roman" w:hAnsi="Times New Roman" w:cs="Times New Roman"/>
          <w:b w:val="0"/>
          <w:i/>
          <w:sz w:val="22"/>
          <w:szCs w:val="22"/>
        </w:rPr>
        <w:t>University</w:t>
      </w:r>
      <w:proofErr w:type="gramEnd"/>
      <w:r>
        <w:rPr>
          <w:rFonts w:ascii="Times New Roman" w:eastAsia="Times New Roman" w:hAnsi="Times New Roman" w:cs="Times New Roman"/>
          <w:b w:val="0"/>
          <w:i/>
          <w:sz w:val="22"/>
          <w:szCs w:val="22"/>
        </w:rPr>
        <w:t xml:space="preserve"> of the Philippines </w:t>
      </w:r>
      <w:proofErr w:type="spellStart"/>
      <w:r>
        <w:rPr>
          <w:rFonts w:ascii="Times New Roman" w:eastAsia="Times New Roman" w:hAnsi="Times New Roman" w:cs="Times New Roman"/>
          <w:b w:val="0"/>
          <w:i/>
          <w:sz w:val="22"/>
          <w:szCs w:val="22"/>
        </w:rPr>
        <w:t>Diliman</w:t>
      </w:r>
      <w:proofErr w:type="spellEnd"/>
    </w:p>
    <w:p w:rsidR="00C36899" w:rsidRPr="004A7753" w:rsidRDefault="00EC5EFB" w:rsidP="004A7753">
      <w:pPr>
        <w:pStyle w:val="IWAAuthoraddress"/>
        <w:spacing w:before="40" w:after="40"/>
        <w:jc w:val="center"/>
        <w:rPr>
          <w:rFonts w:ascii="Times New Roman" w:eastAsia="Times New Roman" w:hAnsi="Times New Roman" w:cs="Times New Roman"/>
          <w:i/>
          <w:sz w:val="22"/>
          <w:szCs w:val="22"/>
        </w:rPr>
      </w:pPr>
      <w:r w:rsidRPr="004A7753">
        <w:rPr>
          <w:rFonts w:ascii="Times New Roman" w:eastAsia="Times New Roman" w:hAnsi="Times New Roman" w:cs="Times New Roman"/>
          <w:i/>
          <w:sz w:val="22"/>
          <w:szCs w:val="22"/>
        </w:rPr>
        <w:t xml:space="preserve">* </w:t>
      </w:r>
      <w:r w:rsidR="008363AD">
        <w:rPr>
          <w:rFonts w:ascii="Times New Roman" w:eastAsia="Times New Roman" w:hAnsi="Times New Roman" w:cs="Times New Roman"/>
          <w:i/>
          <w:sz w:val="22"/>
          <w:szCs w:val="22"/>
        </w:rPr>
        <w:t>crorozco@up.edu.ph</w:t>
      </w:r>
    </w:p>
    <w:p w:rsidR="00C36899" w:rsidRPr="00F94CFD" w:rsidRDefault="00C36899" w:rsidP="00EA3554">
      <w:pPr>
        <w:pStyle w:val="IWAKeyword"/>
        <w:spacing w:before="320"/>
        <w:jc w:val="both"/>
        <w:rPr>
          <w:rFonts w:ascii="Times New Roman" w:eastAsia="Times New Roman" w:hAnsi="Times New Roman" w:cs="Times New Roman"/>
          <w:b/>
          <w:sz w:val="22"/>
          <w:szCs w:val="22"/>
        </w:rPr>
      </w:pPr>
      <w:r w:rsidRPr="00F94CFD">
        <w:rPr>
          <w:rFonts w:ascii="Times New Roman" w:eastAsia="Times New Roman" w:hAnsi="Times New Roman" w:cs="Times New Roman"/>
          <w:b/>
          <w:sz w:val="22"/>
          <w:szCs w:val="22"/>
        </w:rPr>
        <w:t xml:space="preserve">Keywords: </w:t>
      </w:r>
      <w:r w:rsidR="008363AD">
        <w:rPr>
          <w:rFonts w:ascii="Times New Roman" w:eastAsia="Times New Roman" w:hAnsi="Times New Roman" w:cs="Times New Roman"/>
          <w:sz w:val="22"/>
          <w:szCs w:val="22"/>
        </w:rPr>
        <w:t xml:space="preserve">coagulant, </w:t>
      </w:r>
      <w:proofErr w:type="spellStart"/>
      <w:r w:rsidR="008363AD">
        <w:rPr>
          <w:rFonts w:ascii="Times New Roman" w:eastAsia="Times New Roman" w:hAnsi="Times New Roman" w:cs="Times New Roman"/>
          <w:sz w:val="22"/>
          <w:szCs w:val="22"/>
        </w:rPr>
        <w:t>moringa</w:t>
      </w:r>
      <w:proofErr w:type="spellEnd"/>
      <w:r w:rsidR="008363AD">
        <w:rPr>
          <w:rFonts w:ascii="Times New Roman" w:eastAsia="Times New Roman" w:hAnsi="Times New Roman" w:cs="Times New Roman"/>
          <w:sz w:val="22"/>
          <w:szCs w:val="22"/>
        </w:rPr>
        <w:t xml:space="preserve"> </w:t>
      </w:r>
      <w:proofErr w:type="spellStart"/>
      <w:r w:rsidR="008363AD">
        <w:rPr>
          <w:rFonts w:ascii="Times New Roman" w:eastAsia="Times New Roman" w:hAnsi="Times New Roman" w:cs="Times New Roman"/>
          <w:sz w:val="22"/>
          <w:szCs w:val="22"/>
        </w:rPr>
        <w:t>oleifera</w:t>
      </w:r>
      <w:proofErr w:type="spellEnd"/>
      <w:r w:rsidR="008363AD">
        <w:rPr>
          <w:rFonts w:ascii="Times New Roman" w:eastAsia="Times New Roman" w:hAnsi="Times New Roman" w:cs="Times New Roman"/>
          <w:sz w:val="22"/>
          <w:szCs w:val="22"/>
        </w:rPr>
        <w:t>, wastewater</w:t>
      </w:r>
    </w:p>
    <w:p w:rsidR="008363AD" w:rsidRDefault="008363AD" w:rsidP="00EA3554">
      <w:pPr>
        <w:pStyle w:val="IWAHeading"/>
        <w:ind w:left="418" w:hanging="418"/>
        <w:jc w:val="both"/>
        <w:rPr>
          <w:rFonts w:ascii="Times New Roman" w:eastAsia="Times New Roman" w:hAnsi="Times New Roman" w:cs="Times New Roman"/>
          <w:sz w:val="22"/>
          <w:szCs w:val="22"/>
        </w:rPr>
      </w:pPr>
    </w:p>
    <w:p w:rsidR="00C36899" w:rsidRPr="00F94CFD" w:rsidRDefault="00C36899" w:rsidP="00EA3554">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rsidR="008363AD" w:rsidRPr="008363AD" w:rsidRDefault="00906008" w:rsidP="008363AD">
      <w:pPr>
        <w:pStyle w:val="IWAFirstparagraph"/>
        <w:spacing w:before="40" w:after="40" w:line="276" w:lineRule="auto"/>
        <w:rPr>
          <w:rFonts w:ascii="Times New Roman" w:hAnsi="Times New Roman" w:cs="Times New Roman"/>
        </w:rPr>
      </w:pPr>
      <w:r w:rsidRPr="00F94CFD">
        <w:rPr>
          <w:rFonts w:ascii="Times New Roman" w:hAnsi="Times New Roman" w:cs="Times New Roman"/>
          <w:lang w:val="vi-VN"/>
        </w:rPr>
        <w:tab/>
      </w:r>
      <w:r w:rsidR="008363AD" w:rsidRPr="008363AD">
        <w:rPr>
          <w:rFonts w:ascii="Times New Roman" w:hAnsi="Times New Roman" w:cs="Times New Roman"/>
        </w:rPr>
        <w:t xml:space="preserve">Most water treatment facilities in the Philippines, especially large scale companies, use </w:t>
      </w:r>
      <w:proofErr w:type="spellStart"/>
      <w:r w:rsidR="008363AD" w:rsidRPr="008363AD">
        <w:rPr>
          <w:rFonts w:ascii="Times New Roman" w:hAnsi="Times New Roman" w:cs="Times New Roman"/>
        </w:rPr>
        <w:t>Aluminum</w:t>
      </w:r>
      <w:proofErr w:type="spellEnd"/>
      <w:r w:rsidR="008363AD" w:rsidRPr="008363AD">
        <w:rPr>
          <w:rFonts w:ascii="Times New Roman" w:hAnsi="Times New Roman" w:cs="Times New Roman"/>
        </w:rPr>
        <w:t xml:space="preserve"> </w:t>
      </w:r>
      <w:proofErr w:type="spellStart"/>
      <w:r w:rsidR="008363AD" w:rsidRPr="008363AD">
        <w:rPr>
          <w:rFonts w:ascii="Times New Roman" w:hAnsi="Times New Roman" w:cs="Times New Roman"/>
        </w:rPr>
        <w:t>sulfate</w:t>
      </w:r>
      <w:proofErr w:type="spellEnd"/>
      <w:r w:rsidR="008363AD" w:rsidRPr="008363AD">
        <w:rPr>
          <w:rFonts w:ascii="Times New Roman" w:hAnsi="Times New Roman" w:cs="Times New Roman"/>
        </w:rPr>
        <w:t xml:space="preserve"> as coagulant. The disadvantages of alum include health-related problems such as Alzheimer’s disease (</w:t>
      </w:r>
      <w:proofErr w:type="spellStart"/>
      <w:r w:rsidR="008363AD" w:rsidRPr="008363AD">
        <w:rPr>
          <w:rFonts w:ascii="Times New Roman" w:hAnsi="Times New Roman" w:cs="Times New Roman"/>
        </w:rPr>
        <w:t>Muthuraman</w:t>
      </w:r>
      <w:proofErr w:type="spellEnd"/>
      <w:r w:rsidR="008363AD" w:rsidRPr="008363AD">
        <w:rPr>
          <w:rFonts w:ascii="Times New Roman" w:hAnsi="Times New Roman" w:cs="Times New Roman"/>
        </w:rPr>
        <w:t xml:space="preserve"> and </w:t>
      </w:r>
      <w:proofErr w:type="spellStart"/>
      <w:r w:rsidR="008363AD" w:rsidRPr="008363AD">
        <w:rPr>
          <w:rFonts w:ascii="Times New Roman" w:hAnsi="Times New Roman" w:cs="Times New Roman"/>
        </w:rPr>
        <w:t>Sasikala</w:t>
      </w:r>
      <w:proofErr w:type="spellEnd"/>
      <w:r w:rsidR="008363AD" w:rsidRPr="008363AD">
        <w:rPr>
          <w:rFonts w:ascii="Times New Roman" w:hAnsi="Times New Roman" w:cs="Times New Roman"/>
        </w:rPr>
        <w:t>, 2014), large sludge volume, and pH reduction (</w:t>
      </w:r>
      <w:proofErr w:type="spellStart"/>
      <w:r w:rsidR="008363AD" w:rsidRPr="008363AD">
        <w:rPr>
          <w:rFonts w:ascii="Times New Roman" w:hAnsi="Times New Roman" w:cs="Times New Roman"/>
        </w:rPr>
        <w:t>Ndabigengesere</w:t>
      </w:r>
      <w:proofErr w:type="spellEnd"/>
      <w:r w:rsidR="008363AD" w:rsidRPr="008363AD">
        <w:rPr>
          <w:rFonts w:ascii="Times New Roman" w:hAnsi="Times New Roman" w:cs="Times New Roman"/>
        </w:rPr>
        <w:t xml:space="preserve"> and </w:t>
      </w:r>
      <w:proofErr w:type="spellStart"/>
      <w:r w:rsidR="008363AD" w:rsidRPr="008363AD">
        <w:rPr>
          <w:rFonts w:ascii="Times New Roman" w:hAnsi="Times New Roman" w:cs="Times New Roman"/>
        </w:rPr>
        <w:t>Narasiah</w:t>
      </w:r>
      <w:proofErr w:type="spellEnd"/>
      <w:r w:rsidR="008363AD" w:rsidRPr="008363AD">
        <w:rPr>
          <w:rFonts w:ascii="Times New Roman" w:hAnsi="Times New Roman" w:cs="Times New Roman"/>
        </w:rPr>
        <w:t xml:space="preserve">, 1998). This study would research on a natural coagulant that is as effective as alum, without the same disadvantages that it brings. Specifically, this paper proposes the usage of M. </w:t>
      </w:r>
      <w:proofErr w:type="spellStart"/>
      <w:r w:rsidR="008363AD" w:rsidRPr="008363AD">
        <w:rPr>
          <w:rFonts w:ascii="Times New Roman" w:hAnsi="Times New Roman" w:cs="Times New Roman"/>
        </w:rPr>
        <w:t>oleifera</w:t>
      </w:r>
      <w:proofErr w:type="spellEnd"/>
      <w:r w:rsidR="008363AD" w:rsidRPr="008363AD">
        <w:rPr>
          <w:rFonts w:ascii="Times New Roman" w:hAnsi="Times New Roman" w:cs="Times New Roman"/>
        </w:rPr>
        <w:t xml:space="preserve"> as an alternative coagulant because of its efficiency as a coagulant, local availability, and cost-effectiveness. In contrast to chemical coagulants, naturally occurring coagulants are usually presumed safe for human health (Ali et al, 2009), environment friendly and generally nontoxic (Choy, 2014). Natural coagulants have also been found to generate sludge volume that is five times lower than that of alum (</w:t>
      </w:r>
      <w:proofErr w:type="spellStart"/>
      <w:r w:rsidR="008363AD" w:rsidRPr="008363AD">
        <w:rPr>
          <w:rFonts w:ascii="Times New Roman" w:hAnsi="Times New Roman" w:cs="Times New Roman"/>
        </w:rPr>
        <w:t>Ndabigengesere</w:t>
      </w:r>
      <w:proofErr w:type="spellEnd"/>
      <w:r w:rsidR="008363AD" w:rsidRPr="008363AD">
        <w:rPr>
          <w:rFonts w:ascii="Times New Roman" w:hAnsi="Times New Roman" w:cs="Times New Roman"/>
        </w:rPr>
        <w:t xml:space="preserve"> et al., 1995). This translates to cheaper sludge treatment and handling and makes natural coagulants like M. </w:t>
      </w:r>
      <w:proofErr w:type="spellStart"/>
      <w:r w:rsidR="008363AD" w:rsidRPr="008363AD">
        <w:rPr>
          <w:rFonts w:ascii="Times New Roman" w:hAnsi="Times New Roman" w:cs="Times New Roman"/>
        </w:rPr>
        <w:t>oleifera</w:t>
      </w:r>
      <w:proofErr w:type="spellEnd"/>
      <w:r w:rsidR="008363AD" w:rsidRPr="008363AD">
        <w:rPr>
          <w:rFonts w:ascii="Times New Roman" w:hAnsi="Times New Roman" w:cs="Times New Roman"/>
        </w:rPr>
        <w:t xml:space="preserve"> a more sustainable option. Additionally, M. </w:t>
      </w:r>
      <w:proofErr w:type="spellStart"/>
      <w:r w:rsidR="008363AD" w:rsidRPr="008363AD">
        <w:rPr>
          <w:rFonts w:ascii="Times New Roman" w:hAnsi="Times New Roman" w:cs="Times New Roman"/>
        </w:rPr>
        <w:t>oleifera</w:t>
      </w:r>
      <w:proofErr w:type="spellEnd"/>
      <w:r w:rsidR="008363AD" w:rsidRPr="008363AD">
        <w:rPr>
          <w:rFonts w:ascii="Times New Roman" w:hAnsi="Times New Roman" w:cs="Times New Roman"/>
        </w:rPr>
        <w:t xml:space="preserve"> is indigenous and is available locally in the Philippines. Therefore, there would be many sources of this plant in the country and hence, a low-cost alternative to chemical coagulants. Lastly, since natural coagulants do not consume alkalinity unlike alum, pH adjustments can be omitted and this provides extra cost savings (Choy, 2014).</w:t>
      </w:r>
    </w:p>
    <w:p w:rsidR="00C36899" w:rsidRPr="00F94CFD" w:rsidRDefault="008363AD" w:rsidP="008363AD">
      <w:pPr>
        <w:pStyle w:val="IWAFirstparagraph"/>
        <w:suppressLineNumbers w:val="0"/>
        <w:overflowPunct/>
        <w:autoSpaceDE/>
        <w:autoSpaceDN/>
        <w:adjustRightInd/>
        <w:spacing w:before="40" w:after="40" w:line="276" w:lineRule="auto"/>
        <w:ind w:firstLine="418"/>
        <w:textAlignment w:val="auto"/>
        <w:rPr>
          <w:rFonts w:ascii="Times New Roman" w:eastAsia="Times New Roman" w:hAnsi="Times New Roman" w:cs="Times New Roman"/>
        </w:rPr>
      </w:pPr>
      <w:r w:rsidRPr="008363AD">
        <w:rPr>
          <w:rFonts w:ascii="Times New Roman" w:hAnsi="Times New Roman" w:cs="Times New Roman"/>
        </w:rPr>
        <w:t xml:space="preserve">The general objective of this study is to evaluate the effectiveness of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seed as a natural coagulant- its ability to remove turbidity as in the case of river water and total suspended solids (TSS) as in the case of wastewater. This will be done by determining the optimum dosage that will yield the highest removal efficiency for turbidity and total suspended solids. This research will also determine the most effective method of extracting the active coagulating component of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These objectives will be achieved by varying the dosage of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and the extraction methods used in this research. The effect of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on pH, Biochemical Oxygen Demand (BOD), and Sludge Volume Index (SVI) will also be looked into. To further assess its effectiveness, the results of experiments done on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will be compared to that of widely used chemical coagulant, alum. Lastly, this study would like to assess if M. </w:t>
      </w:r>
      <w:proofErr w:type="spellStart"/>
      <w:r w:rsidRPr="008363AD">
        <w:rPr>
          <w:rFonts w:ascii="Times New Roman" w:hAnsi="Times New Roman" w:cs="Times New Roman"/>
        </w:rPr>
        <w:t>oleifera</w:t>
      </w:r>
      <w:proofErr w:type="spellEnd"/>
      <w:r w:rsidRPr="008363AD">
        <w:rPr>
          <w:rFonts w:ascii="Times New Roman" w:hAnsi="Times New Roman" w:cs="Times New Roman"/>
        </w:rPr>
        <w:t xml:space="preserve"> seeds may be used as coagulant for large-scale water treatment </w:t>
      </w:r>
      <w:proofErr w:type="spellStart"/>
      <w:r w:rsidRPr="008363AD">
        <w:rPr>
          <w:rFonts w:ascii="Times New Roman" w:hAnsi="Times New Roman" w:cs="Times New Roman"/>
        </w:rPr>
        <w:t>processes.</w:t>
      </w:r>
      <w:r w:rsidR="00C36899" w:rsidRPr="00F94CFD">
        <w:rPr>
          <w:rFonts w:ascii="Times New Roman" w:eastAsia="Times New Roman" w:hAnsi="Times New Roman" w:cs="Times New Roman"/>
        </w:rPr>
        <w:t>Material</w:t>
      </w:r>
      <w:proofErr w:type="spellEnd"/>
      <w:r w:rsidR="00C36899" w:rsidRPr="00F94CFD">
        <w:rPr>
          <w:rFonts w:ascii="Times New Roman" w:eastAsia="Times New Roman" w:hAnsi="Times New Roman" w:cs="Times New Roman"/>
        </w:rPr>
        <w:t xml:space="preserve"> and Methods</w:t>
      </w:r>
    </w:p>
    <w:p w:rsidR="008363AD" w:rsidRPr="00F94CFD" w:rsidRDefault="008363AD" w:rsidP="008363AD">
      <w:pPr>
        <w:pStyle w:val="IWAHeading"/>
        <w:ind w:left="418" w:hanging="41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Methodology</w:t>
      </w:r>
    </w:p>
    <w:p w:rsidR="008363AD" w:rsidRDefault="008363AD" w:rsidP="005A6359">
      <w:pPr>
        <w:pStyle w:val="IWAFirstparagraph"/>
        <w:spacing w:before="40" w:after="40" w:line="276" w:lineRule="auto"/>
        <w:ind w:firstLine="567"/>
        <w:rPr>
          <w:rFonts w:ascii="Times New Roman" w:hAnsi="Times New Roman" w:cs="Times New Roman"/>
          <w:lang w:val="en-US"/>
        </w:rPr>
      </w:pPr>
      <w:r w:rsidRPr="008363AD">
        <w:rPr>
          <w:rFonts w:ascii="Times New Roman" w:hAnsi="Times New Roman" w:cs="Times New Roman"/>
          <w:lang w:val="vi-VN"/>
        </w:rPr>
        <w:t xml:space="preserve">Water samples were collected from rivers (Marikina and Pasig) and sewage treatment plants (Olandes, K8, Pinagsama). M. oleifera seeds were dried and pulverized before the extraction of the active coagulant components. </w:t>
      </w:r>
    </w:p>
    <w:p w:rsidR="00C36899" w:rsidRPr="00725EE4" w:rsidRDefault="008363AD" w:rsidP="005A6359">
      <w:pPr>
        <w:pStyle w:val="IWAFirstparagraph"/>
        <w:spacing w:before="40" w:after="40" w:line="276" w:lineRule="auto"/>
        <w:ind w:firstLine="567"/>
        <w:rPr>
          <w:rFonts w:ascii="Times New Roman" w:hAnsi="Times New Roman" w:cs="Times New Roman"/>
          <w:lang w:val="en-US"/>
        </w:rPr>
      </w:pPr>
      <w:r w:rsidRPr="008363AD">
        <w:rPr>
          <w:rFonts w:ascii="Times New Roman" w:hAnsi="Times New Roman" w:cs="Times New Roman"/>
          <w:lang w:val="vi-VN"/>
        </w:rPr>
        <w:t>The extraction of the active coagulating components was done using 1M NaCl solution, 1M NaOH solution and distilled water. Standard jar tests were performed for the Moringa oleifera to determine the optimum dosage, varying from 5, 10 and 15 ml. Turbidity of the river water and the total suspended solids (TSS) and of the wastewater were measured before and after the treatment. The pH levels for all samples were also measured. The biochemical oxygen demand (BOD) and sludge-volume index (SVI) of the wastewater treated by M. oleifera were also measured.</w:t>
      </w:r>
      <w:r w:rsidR="00906008" w:rsidRPr="00F94CFD">
        <w:rPr>
          <w:rFonts w:ascii="Times New Roman" w:hAnsi="Times New Roman" w:cs="Times New Roman"/>
          <w:lang w:val="vi-VN"/>
        </w:rPr>
        <w:tab/>
      </w:r>
      <w:r w:rsidR="00725EE4">
        <w:rPr>
          <w:rFonts w:ascii="Times New Roman" w:hAnsi="Times New Roman" w:cs="Times New Roman"/>
          <w:lang w:val="en-US"/>
        </w:rPr>
        <w:t xml:space="preserve">The performance of M. </w:t>
      </w:r>
      <w:proofErr w:type="spellStart"/>
      <w:r w:rsidR="00725EE4">
        <w:rPr>
          <w:rFonts w:ascii="Times New Roman" w:hAnsi="Times New Roman" w:cs="Times New Roman"/>
          <w:lang w:val="en-US"/>
        </w:rPr>
        <w:t>oleifera</w:t>
      </w:r>
      <w:proofErr w:type="spellEnd"/>
      <w:r w:rsidR="00725EE4">
        <w:rPr>
          <w:rFonts w:ascii="Times New Roman" w:hAnsi="Times New Roman" w:cs="Times New Roman"/>
          <w:lang w:val="en-US"/>
        </w:rPr>
        <w:t xml:space="preserve"> was compared with that of the alum.</w:t>
      </w:r>
    </w:p>
    <w:p w:rsidR="00C36899" w:rsidRPr="00F94CFD" w:rsidRDefault="00C36899" w:rsidP="00ED376B">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Results and Conclusions</w:t>
      </w:r>
    </w:p>
    <w:p w:rsidR="008363AD" w:rsidRPr="008363AD" w:rsidRDefault="008363AD" w:rsidP="008363AD">
      <w:pPr>
        <w:pStyle w:val="IWATableFigureheading"/>
        <w:spacing w:beforeLines="40" w:before="96" w:afterLines="40" w:after="96" w:line="276" w:lineRule="auto"/>
        <w:ind w:firstLine="418"/>
        <w:rPr>
          <w:rFonts w:ascii="Times New Roman" w:hAnsi="Times New Roman"/>
          <w:bCs w:val="0"/>
          <w:sz w:val="22"/>
          <w:szCs w:val="22"/>
        </w:rPr>
      </w:pPr>
      <w:r w:rsidRPr="008363AD">
        <w:rPr>
          <w:rFonts w:ascii="Times New Roman" w:hAnsi="Times New Roman"/>
          <w:bCs w:val="0"/>
          <w:sz w:val="22"/>
          <w:szCs w:val="22"/>
        </w:rPr>
        <w:t xml:space="preserve">This is the first study in the Philippines that assesses the effectiveness of M. </w:t>
      </w:r>
      <w:proofErr w:type="spellStart"/>
      <w:r w:rsidRPr="008363AD">
        <w:rPr>
          <w:rFonts w:ascii="Times New Roman" w:hAnsi="Times New Roman"/>
          <w:bCs w:val="0"/>
          <w:sz w:val="22"/>
          <w:szCs w:val="22"/>
        </w:rPr>
        <w:t>oleifera</w:t>
      </w:r>
      <w:proofErr w:type="spellEnd"/>
      <w:r w:rsidRPr="008363AD">
        <w:rPr>
          <w:rFonts w:ascii="Times New Roman" w:hAnsi="Times New Roman"/>
          <w:bCs w:val="0"/>
          <w:sz w:val="22"/>
          <w:szCs w:val="22"/>
        </w:rPr>
        <w:t xml:space="preserve"> as a natural coagulant in treating river water and wastewater, M. </w:t>
      </w:r>
      <w:proofErr w:type="spellStart"/>
      <w:r w:rsidRPr="008363AD">
        <w:rPr>
          <w:rFonts w:ascii="Times New Roman" w:hAnsi="Times New Roman"/>
          <w:bCs w:val="0"/>
          <w:sz w:val="22"/>
          <w:szCs w:val="22"/>
        </w:rPr>
        <w:t>oleifera</w:t>
      </w:r>
      <w:proofErr w:type="spellEnd"/>
      <w:r w:rsidRPr="008363AD">
        <w:rPr>
          <w:rFonts w:ascii="Times New Roman" w:hAnsi="Times New Roman"/>
          <w:bCs w:val="0"/>
          <w:sz w:val="22"/>
          <w:szCs w:val="22"/>
        </w:rPr>
        <w:t xml:space="preserve"> is indeed an effective and promising natural coagulant with turbidity removal efficiency of 92% when treating river water at optimum dosage of 15 ml and TSS removal efficiency of 95% when treating wastewater at optimum dosage of 10 ml. The most effective extraction method is using sodium chloride. </w:t>
      </w:r>
      <w:proofErr w:type="spellStart"/>
      <w:r w:rsidRPr="008363AD">
        <w:rPr>
          <w:rFonts w:ascii="Times New Roman" w:hAnsi="Times New Roman"/>
          <w:bCs w:val="0"/>
          <w:sz w:val="22"/>
          <w:szCs w:val="22"/>
        </w:rPr>
        <w:t>Moringa</w:t>
      </w:r>
      <w:proofErr w:type="spellEnd"/>
      <w:r w:rsidRPr="008363AD">
        <w:rPr>
          <w:rFonts w:ascii="Times New Roman" w:hAnsi="Times New Roman"/>
          <w:bCs w:val="0"/>
          <w:sz w:val="22"/>
          <w:szCs w:val="22"/>
        </w:rPr>
        <w:t xml:space="preserve"> </w:t>
      </w:r>
      <w:proofErr w:type="spellStart"/>
      <w:r w:rsidRPr="008363AD">
        <w:rPr>
          <w:rFonts w:ascii="Times New Roman" w:hAnsi="Times New Roman"/>
          <w:bCs w:val="0"/>
          <w:sz w:val="22"/>
          <w:szCs w:val="22"/>
        </w:rPr>
        <w:t>oleifera</w:t>
      </w:r>
      <w:proofErr w:type="spellEnd"/>
      <w:r w:rsidRPr="008363AD">
        <w:rPr>
          <w:rFonts w:ascii="Times New Roman" w:hAnsi="Times New Roman"/>
          <w:bCs w:val="0"/>
          <w:sz w:val="22"/>
          <w:szCs w:val="22"/>
        </w:rPr>
        <w:t xml:space="preserve"> seeds present a viable alternative to alum because their difference in coagulating capacity is very minimal with only 8% difference when treating river water and 3% when treating wastewater. </w:t>
      </w:r>
    </w:p>
    <w:p w:rsidR="008363AD" w:rsidRDefault="00725EE4" w:rsidP="008363AD">
      <w:pPr>
        <w:pStyle w:val="IWATableFigureheading"/>
        <w:spacing w:beforeLines="40" w:before="96" w:afterLines="40" w:after="96" w:line="276" w:lineRule="auto"/>
        <w:ind w:firstLine="418"/>
        <w:rPr>
          <w:rFonts w:ascii="Times New Roman" w:hAnsi="Times New Roman"/>
          <w:bCs w:val="0"/>
          <w:sz w:val="22"/>
          <w:szCs w:val="22"/>
        </w:rPr>
      </w:pPr>
      <w:r w:rsidRPr="008363AD">
        <w:rPr>
          <w:rFonts w:ascii="Times New Roman" w:hAnsi="Times New Roman"/>
          <w:bCs w:val="0"/>
          <w:sz w:val="22"/>
          <w:szCs w:val="22"/>
        </w:rPr>
        <w:t>Analysis of the treated waters shows</w:t>
      </w:r>
      <w:r w:rsidR="008363AD" w:rsidRPr="008363AD">
        <w:rPr>
          <w:rFonts w:ascii="Times New Roman" w:hAnsi="Times New Roman"/>
          <w:bCs w:val="0"/>
          <w:sz w:val="22"/>
          <w:szCs w:val="22"/>
        </w:rPr>
        <w:t xml:space="preserve"> that </w:t>
      </w:r>
      <w:proofErr w:type="spellStart"/>
      <w:r w:rsidR="008363AD" w:rsidRPr="008363AD">
        <w:rPr>
          <w:rFonts w:ascii="Times New Roman" w:hAnsi="Times New Roman"/>
          <w:bCs w:val="0"/>
          <w:sz w:val="22"/>
          <w:szCs w:val="22"/>
        </w:rPr>
        <w:t>Moringa</w:t>
      </w:r>
      <w:proofErr w:type="spellEnd"/>
      <w:r w:rsidR="008363AD" w:rsidRPr="008363AD">
        <w:rPr>
          <w:rFonts w:ascii="Times New Roman" w:hAnsi="Times New Roman"/>
          <w:bCs w:val="0"/>
          <w:sz w:val="22"/>
          <w:szCs w:val="22"/>
        </w:rPr>
        <w:t xml:space="preserve"> </w:t>
      </w:r>
      <w:proofErr w:type="spellStart"/>
      <w:r w:rsidR="008363AD" w:rsidRPr="008363AD">
        <w:rPr>
          <w:rFonts w:ascii="Times New Roman" w:hAnsi="Times New Roman"/>
          <w:bCs w:val="0"/>
          <w:sz w:val="22"/>
          <w:szCs w:val="22"/>
        </w:rPr>
        <w:t>oleifera</w:t>
      </w:r>
      <w:proofErr w:type="spellEnd"/>
      <w:r w:rsidR="008363AD" w:rsidRPr="008363AD">
        <w:rPr>
          <w:rFonts w:ascii="Times New Roman" w:hAnsi="Times New Roman"/>
          <w:bCs w:val="0"/>
          <w:sz w:val="22"/>
          <w:szCs w:val="22"/>
        </w:rPr>
        <w:t xml:space="preserve"> seeds do not significantly affect the pH of both river water and wastewater.  Compared to alum, </w:t>
      </w:r>
      <w:proofErr w:type="spellStart"/>
      <w:r w:rsidR="008363AD" w:rsidRPr="008363AD">
        <w:rPr>
          <w:rFonts w:ascii="Times New Roman" w:hAnsi="Times New Roman"/>
          <w:bCs w:val="0"/>
          <w:sz w:val="22"/>
          <w:szCs w:val="22"/>
        </w:rPr>
        <w:t>Moringa</w:t>
      </w:r>
      <w:proofErr w:type="spellEnd"/>
      <w:r w:rsidR="008363AD" w:rsidRPr="008363AD">
        <w:rPr>
          <w:rFonts w:ascii="Times New Roman" w:hAnsi="Times New Roman"/>
          <w:bCs w:val="0"/>
          <w:sz w:val="22"/>
          <w:szCs w:val="22"/>
        </w:rPr>
        <w:t xml:space="preserve"> </w:t>
      </w:r>
      <w:proofErr w:type="spellStart"/>
      <w:r w:rsidR="008363AD" w:rsidRPr="008363AD">
        <w:rPr>
          <w:rFonts w:ascii="Times New Roman" w:hAnsi="Times New Roman"/>
          <w:bCs w:val="0"/>
          <w:sz w:val="22"/>
          <w:szCs w:val="22"/>
        </w:rPr>
        <w:t>oleifera</w:t>
      </w:r>
      <w:proofErr w:type="spellEnd"/>
      <w:r w:rsidR="008363AD" w:rsidRPr="008363AD">
        <w:rPr>
          <w:rFonts w:ascii="Times New Roman" w:hAnsi="Times New Roman"/>
          <w:bCs w:val="0"/>
          <w:sz w:val="22"/>
          <w:szCs w:val="22"/>
        </w:rPr>
        <w:t xml:space="preserve"> seeds do not need pH adjustments. The sludge produced by M. </w:t>
      </w:r>
      <w:proofErr w:type="spellStart"/>
      <w:r w:rsidR="008363AD" w:rsidRPr="008363AD">
        <w:rPr>
          <w:rFonts w:ascii="Times New Roman" w:hAnsi="Times New Roman"/>
          <w:bCs w:val="0"/>
          <w:sz w:val="22"/>
          <w:szCs w:val="22"/>
        </w:rPr>
        <w:t>oleifera</w:t>
      </w:r>
      <w:proofErr w:type="spellEnd"/>
      <w:r w:rsidR="008363AD" w:rsidRPr="008363AD">
        <w:rPr>
          <w:rFonts w:ascii="Times New Roman" w:hAnsi="Times New Roman"/>
          <w:bCs w:val="0"/>
          <w:sz w:val="22"/>
          <w:szCs w:val="22"/>
        </w:rPr>
        <w:t xml:space="preserve"> is considered good sludge with SVI of 125. </w:t>
      </w:r>
    </w:p>
    <w:p w:rsidR="00C36899" w:rsidRPr="00F94CFD" w:rsidRDefault="008363AD" w:rsidP="008363AD">
      <w:pPr>
        <w:pStyle w:val="IWATableFigureheading"/>
        <w:spacing w:beforeLines="40" w:before="96" w:afterLines="40" w:after="96" w:line="276" w:lineRule="auto"/>
        <w:ind w:firstLine="418"/>
        <w:rPr>
          <w:rFonts w:ascii="Times New Roman" w:hAnsi="Times New Roman"/>
          <w:b/>
          <w:sz w:val="22"/>
          <w:szCs w:val="22"/>
          <w:lang w:val="vi-VN"/>
        </w:rPr>
      </w:pPr>
      <w:r w:rsidRPr="008363AD">
        <w:rPr>
          <w:rFonts w:ascii="Times New Roman" w:hAnsi="Times New Roman"/>
          <w:bCs w:val="0"/>
          <w:sz w:val="22"/>
          <w:szCs w:val="22"/>
        </w:rPr>
        <w:t xml:space="preserve">There is also no significant change in the BOD of the wastewater because of the organic compounds present in M. </w:t>
      </w:r>
      <w:proofErr w:type="spellStart"/>
      <w:r w:rsidRPr="008363AD">
        <w:rPr>
          <w:rFonts w:ascii="Times New Roman" w:hAnsi="Times New Roman"/>
          <w:bCs w:val="0"/>
          <w:sz w:val="22"/>
          <w:szCs w:val="22"/>
        </w:rPr>
        <w:t>oleifera</w:t>
      </w:r>
      <w:proofErr w:type="spellEnd"/>
      <w:r w:rsidRPr="008363AD">
        <w:rPr>
          <w:rFonts w:ascii="Times New Roman" w:hAnsi="Times New Roman"/>
          <w:bCs w:val="0"/>
          <w:sz w:val="22"/>
          <w:szCs w:val="22"/>
        </w:rPr>
        <w:t xml:space="preserve">. Therefore, there is a need for an adequate purification and isolation of the active proteins of </w:t>
      </w:r>
      <w:proofErr w:type="spellStart"/>
      <w:r w:rsidRPr="008363AD">
        <w:rPr>
          <w:rFonts w:ascii="Times New Roman" w:hAnsi="Times New Roman"/>
          <w:bCs w:val="0"/>
          <w:sz w:val="22"/>
          <w:szCs w:val="22"/>
        </w:rPr>
        <w:t>Moringa</w:t>
      </w:r>
      <w:proofErr w:type="spellEnd"/>
      <w:r w:rsidRPr="008363AD">
        <w:rPr>
          <w:rFonts w:ascii="Times New Roman" w:hAnsi="Times New Roman"/>
          <w:bCs w:val="0"/>
          <w:sz w:val="22"/>
          <w:szCs w:val="22"/>
        </w:rPr>
        <w:t xml:space="preserve"> </w:t>
      </w:r>
      <w:proofErr w:type="spellStart"/>
      <w:r w:rsidRPr="008363AD">
        <w:rPr>
          <w:rFonts w:ascii="Times New Roman" w:hAnsi="Times New Roman"/>
          <w:bCs w:val="0"/>
          <w:sz w:val="22"/>
          <w:szCs w:val="22"/>
        </w:rPr>
        <w:t>oleifera</w:t>
      </w:r>
      <w:proofErr w:type="spellEnd"/>
      <w:r w:rsidRPr="008363AD">
        <w:rPr>
          <w:rFonts w:ascii="Times New Roman" w:hAnsi="Times New Roman"/>
          <w:bCs w:val="0"/>
          <w:sz w:val="22"/>
          <w:szCs w:val="22"/>
        </w:rPr>
        <w:t xml:space="preserve"> seeds before it could be used in the large-scale water and wastewater treatment industry to avoid microbial decomposition of said organic matter.</w:t>
      </w:r>
    </w:p>
    <w:p w:rsidR="00725EE4" w:rsidRDefault="00725EE4" w:rsidP="00725EE4">
      <w:pPr>
        <w:jc w:val="both"/>
        <w:rPr>
          <w:rFonts w:eastAsia="Arial"/>
          <w:sz w:val="20"/>
          <w:szCs w:val="20"/>
        </w:rPr>
      </w:pPr>
      <w:r>
        <w:rPr>
          <w:rFonts w:eastAsia="Arial"/>
          <w:sz w:val="20"/>
          <w:szCs w:val="20"/>
        </w:rPr>
        <w:t xml:space="preserve"> </w:t>
      </w:r>
    </w:p>
    <w:p w:rsidR="00464EC2" w:rsidRPr="00F94CFD" w:rsidRDefault="00464EC2" w:rsidP="00464EC2">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gramStart"/>
      <w:r w:rsidRPr="00725EE4">
        <w:rPr>
          <w:rFonts w:ascii="Times New Roman" w:hAnsi="Times New Roman" w:cs="Times New Roman"/>
          <w:sz w:val="18"/>
        </w:rPr>
        <w:t xml:space="preserve">Ali, E., </w:t>
      </w:r>
      <w:proofErr w:type="spellStart"/>
      <w:r w:rsidRPr="00725EE4">
        <w:rPr>
          <w:rFonts w:ascii="Times New Roman" w:hAnsi="Times New Roman" w:cs="Times New Roman"/>
          <w:sz w:val="18"/>
        </w:rPr>
        <w:t>Muyibi</w:t>
      </w:r>
      <w:proofErr w:type="spellEnd"/>
      <w:r w:rsidRPr="00725EE4">
        <w:rPr>
          <w:rFonts w:ascii="Times New Roman" w:hAnsi="Times New Roman" w:cs="Times New Roman"/>
          <w:sz w:val="18"/>
        </w:rPr>
        <w:t xml:space="preserve">, S., </w:t>
      </w:r>
      <w:proofErr w:type="spellStart"/>
      <w:r w:rsidRPr="00725EE4">
        <w:rPr>
          <w:rFonts w:ascii="Times New Roman" w:hAnsi="Times New Roman" w:cs="Times New Roman"/>
          <w:sz w:val="18"/>
        </w:rPr>
        <w:t>Salleh</w:t>
      </w:r>
      <w:proofErr w:type="spellEnd"/>
      <w:r w:rsidRPr="00725EE4">
        <w:rPr>
          <w:rFonts w:ascii="Times New Roman" w:hAnsi="Times New Roman" w:cs="Times New Roman"/>
          <w:sz w:val="18"/>
        </w:rPr>
        <w:t xml:space="preserve">, H., </w:t>
      </w:r>
      <w:proofErr w:type="spellStart"/>
      <w:r w:rsidRPr="00725EE4">
        <w:rPr>
          <w:rFonts w:ascii="Times New Roman" w:hAnsi="Times New Roman" w:cs="Times New Roman"/>
          <w:sz w:val="18"/>
        </w:rPr>
        <w:t>Alam</w:t>
      </w:r>
      <w:proofErr w:type="spellEnd"/>
      <w:r w:rsidRPr="00725EE4">
        <w:rPr>
          <w:rFonts w:ascii="Times New Roman" w:hAnsi="Times New Roman" w:cs="Times New Roman"/>
          <w:sz w:val="18"/>
        </w:rPr>
        <w:t xml:space="preserve">, M. and </w:t>
      </w:r>
      <w:proofErr w:type="spellStart"/>
      <w:r w:rsidRPr="00725EE4">
        <w:rPr>
          <w:rFonts w:ascii="Times New Roman" w:hAnsi="Times New Roman" w:cs="Times New Roman"/>
          <w:sz w:val="18"/>
        </w:rPr>
        <w:t>Salleh</w:t>
      </w:r>
      <w:proofErr w:type="spellEnd"/>
      <w:r w:rsidRPr="00725EE4">
        <w:rPr>
          <w:rFonts w:ascii="Times New Roman" w:hAnsi="Times New Roman" w:cs="Times New Roman"/>
          <w:sz w:val="18"/>
        </w:rPr>
        <w:t>, M. (2010).</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 xml:space="preserve">Production of Natural Coagulant from </w:t>
      </w:r>
      <w:proofErr w:type="spellStart"/>
      <w:r w:rsidRPr="00725EE4">
        <w:rPr>
          <w:rFonts w:ascii="Times New Roman" w:hAnsi="Times New Roman" w:cs="Times New Roman"/>
          <w:sz w:val="18"/>
        </w:rPr>
        <w:t>Moringa</w:t>
      </w:r>
      <w:proofErr w:type="spellEnd"/>
      <w:r w:rsidRPr="00725EE4">
        <w:rPr>
          <w:rFonts w:ascii="Times New Roman" w:hAnsi="Times New Roman" w:cs="Times New Roman"/>
          <w:sz w:val="18"/>
        </w:rPr>
        <w:t xml:space="preserve"> </w:t>
      </w:r>
      <w:proofErr w:type="spellStart"/>
      <w:r w:rsidRPr="00725EE4">
        <w:rPr>
          <w:rFonts w:ascii="Times New Roman" w:hAnsi="Times New Roman" w:cs="Times New Roman"/>
          <w:sz w:val="18"/>
        </w:rPr>
        <w:t>oleifera</w:t>
      </w:r>
      <w:proofErr w:type="spellEnd"/>
      <w:r w:rsidRPr="00725EE4">
        <w:rPr>
          <w:rFonts w:ascii="Times New Roman" w:hAnsi="Times New Roman" w:cs="Times New Roman"/>
          <w:sz w:val="18"/>
        </w:rPr>
        <w:t xml:space="preserve"> Seed for Application in Treatment of Low Turbidity Water.</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J. Water Resource and Protection, 2, pp.259-266.</w:t>
      </w:r>
      <w:proofErr w:type="gramEnd"/>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gramStart"/>
      <w:r w:rsidRPr="00725EE4">
        <w:rPr>
          <w:rFonts w:ascii="Times New Roman" w:hAnsi="Times New Roman" w:cs="Times New Roman"/>
          <w:sz w:val="18"/>
        </w:rPr>
        <w:t xml:space="preserve">Ali, E., </w:t>
      </w:r>
      <w:proofErr w:type="spellStart"/>
      <w:r w:rsidRPr="00725EE4">
        <w:rPr>
          <w:rFonts w:ascii="Times New Roman" w:hAnsi="Times New Roman" w:cs="Times New Roman"/>
          <w:sz w:val="18"/>
        </w:rPr>
        <w:t>Muyibi</w:t>
      </w:r>
      <w:proofErr w:type="spellEnd"/>
      <w:r w:rsidRPr="00725EE4">
        <w:rPr>
          <w:rFonts w:ascii="Times New Roman" w:hAnsi="Times New Roman" w:cs="Times New Roman"/>
          <w:sz w:val="18"/>
        </w:rPr>
        <w:t xml:space="preserve">, S., </w:t>
      </w:r>
      <w:proofErr w:type="spellStart"/>
      <w:r w:rsidRPr="00725EE4">
        <w:rPr>
          <w:rFonts w:ascii="Times New Roman" w:hAnsi="Times New Roman" w:cs="Times New Roman"/>
          <w:sz w:val="18"/>
        </w:rPr>
        <w:t>Salleh</w:t>
      </w:r>
      <w:proofErr w:type="spellEnd"/>
      <w:r w:rsidRPr="00725EE4">
        <w:rPr>
          <w:rFonts w:ascii="Times New Roman" w:hAnsi="Times New Roman" w:cs="Times New Roman"/>
          <w:sz w:val="18"/>
        </w:rPr>
        <w:t xml:space="preserve">, H., </w:t>
      </w:r>
      <w:proofErr w:type="spellStart"/>
      <w:r w:rsidRPr="00725EE4">
        <w:rPr>
          <w:rFonts w:ascii="Times New Roman" w:hAnsi="Times New Roman" w:cs="Times New Roman"/>
          <w:sz w:val="18"/>
        </w:rPr>
        <w:t>Salleh</w:t>
      </w:r>
      <w:proofErr w:type="spellEnd"/>
      <w:r w:rsidRPr="00725EE4">
        <w:rPr>
          <w:rFonts w:ascii="Times New Roman" w:hAnsi="Times New Roman" w:cs="Times New Roman"/>
          <w:sz w:val="18"/>
        </w:rPr>
        <w:t xml:space="preserve">, M. and </w:t>
      </w:r>
      <w:proofErr w:type="spellStart"/>
      <w:r w:rsidRPr="00725EE4">
        <w:rPr>
          <w:rFonts w:ascii="Times New Roman" w:hAnsi="Times New Roman" w:cs="Times New Roman"/>
          <w:sz w:val="18"/>
        </w:rPr>
        <w:t>Alam</w:t>
      </w:r>
      <w:proofErr w:type="spellEnd"/>
      <w:r w:rsidRPr="00725EE4">
        <w:rPr>
          <w:rFonts w:ascii="Times New Roman" w:hAnsi="Times New Roman" w:cs="Times New Roman"/>
          <w:sz w:val="18"/>
        </w:rPr>
        <w:t>, M. (2009).</w:t>
      </w:r>
      <w:proofErr w:type="gramEnd"/>
      <w:r w:rsidRPr="00725EE4">
        <w:rPr>
          <w:rFonts w:ascii="Times New Roman" w:hAnsi="Times New Roman" w:cs="Times New Roman"/>
          <w:sz w:val="18"/>
        </w:rPr>
        <w:t xml:space="preserve"> </w:t>
      </w:r>
      <w:proofErr w:type="spellStart"/>
      <w:r w:rsidRPr="00725EE4">
        <w:rPr>
          <w:rFonts w:ascii="Times New Roman" w:hAnsi="Times New Roman" w:cs="Times New Roman"/>
          <w:sz w:val="18"/>
        </w:rPr>
        <w:t>Moringa</w:t>
      </w:r>
      <w:proofErr w:type="spellEnd"/>
      <w:r w:rsidRPr="00725EE4">
        <w:rPr>
          <w:rFonts w:ascii="Times New Roman" w:hAnsi="Times New Roman" w:cs="Times New Roman"/>
          <w:sz w:val="18"/>
        </w:rPr>
        <w:t xml:space="preserve"> </w:t>
      </w:r>
      <w:proofErr w:type="spellStart"/>
      <w:r w:rsidRPr="00725EE4">
        <w:rPr>
          <w:rFonts w:ascii="Times New Roman" w:hAnsi="Times New Roman" w:cs="Times New Roman"/>
          <w:sz w:val="18"/>
        </w:rPr>
        <w:t>oleifera</w:t>
      </w:r>
      <w:proofErr w:type="spellEnd"/>
      <w:r w:rsidRPr="00725EE4">
        <w:rPr>
          <w:rFonts w:ascii="Times New Roman" w:hAnsi="Times New Roman" w:cs="Times New Roman"/>
          <w:sz w:val="18"/>
        </w:rPr>
        <w:t xml:space="preserve"> Seeds </w:t>
      </w:r>
      <w:proofErr w:type="gramStart"/>
      <w:r w:rsidRPr="00725EE4">
        <w:rPr>
          <w:rFonts w:ascii="Times New Roman" w:hAnsi="Times New Roman" w:cs="Times New Roman"/>
          <w:sz w:val="18"/>
        </w:rPr>
        <w:t>As Natural Coagulant For</w:t>
      </w:r>
      <w:proofErr w:type="gramEnd"/>
      <w:r w:rsidRPr="00725EE4">
        <w:rPr>
          <w:rFonts w:ascii="Times New Roman" w:hAnsi="Times New Roman" w:cs="Times New Roman"/>
          <w:sz w:val="18"/>
        </w:rPr>
        <w:t xml:space="preserve"> Water Treatment. </w:t>
      </w:r>
      <w:proofErr w:type="gramStart"/>
      <w:r w:rsidRPr="00725EE4">
        <w:rPr>
          <w:rFonts w:ascii="Times New Roman" w:hAnsi="Times New Roman" w:cs="Times New Roman"/>
          <w:sz w:val="18"/>
        </w:rPr>
        <w:t>Thirteenth International Water Technology Conference, 13, pp.163-168.</w:t>
      </w:r>
      <w:proofErr w:type="gramEnd"/>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gramStart"/>
      <w:r w:rsidRPr="00725EE4">
        <w:rPr>
          <w:rFonts w:ascii="Times New Roman" w:hAnsi="Times New Roman" w:cs="Times New Roman"/>
          <w:sz w:val="18"/>
        </w:rPr>
        <w:t xml:space="preserve">Anderson, T., </w:t>
      </w:r>
      <w:proofErr w:type="spellStart"/>
      <w:r w:rsidRPr="00725EE4">
        <w:rPr>
          <w:rFonts w:ascii="Times New Roman" w:hAnsi="Times New Roman" w:cs="Times New Roman"/>
          <w:sz w:val="18"/>
        </w:rPr>
        <w:t>Duclos</w:t>
      </w:r>
      <w:proofErr w:type="spellEnd"/>
      <w:r w:rsidRPr="00725EE4">
        <w:rPr>
          <w:rFonts w:ascii="Times New Roman" w:hAnsi="Times New Roman" w:cs="Times New Roman"/>
          <w:sz w:val="18"/>
        </w:rPr>
        <w:t xml:space="preserve">, N., </w:t>
      </w:r>
      <w:proofErr w:type="spellStart"/>
      <w:r w:rsidRPr="00725EE4">
        <w:rPr>
          <w:rFonts w:ascii="Times New Roman" w:hAnsi="Times New Roman" w:cs="Times New Roman"/>
          <w:sz w:val="18"/>
        </w:rPr>
        <w:t>Folster</w:t>
      </w:r>
      <w:proofErr w:type="spellEnd"/>
      <w:r w:rsidRPr="00725EE4">
        <w:rPr>
          <w:rFonts w:ascii="Times New Roman" w:hAnsi="Times New Roman" w:cs="Times New Roman"/>
          <w:sz w:val="18"/>
        </w:rPr>
        <w:t>, L., Lindley, K. and Smith, K. (2005).</w:t>
      </w:r>
      <w:proofErr w:type="gramEnd"/>
      <w:r w:rsidRPr="00725EE4">
        <w:rPr>
          <w:rFonts w:ascii="Times New Roman" w:hAnsi="Times New Roman" w:cs="Times New Roman"/>
          <w:sz w:val="18"/>
        </w:rPr>
        <w:t xml:space="preserve"> Chapter 4: Introduction to Water Treatment. In: S. </w:t>
      </w:r>
      <w:proofErr w:type="spellStart"/>
      <w:r w:rsidRPr="00725EE4">
        <w:rPr>
          <w:rFonts w:ascii="Times New Roman" w:hAnsi="Times New Roman" w:cs="Times New Roman"/>
          <w:sz w:val="18"/>
        </w:rPr>
        <w:t>Arasmith</w:t>
      </w:r>
      <w:proofErr w:type="spellEnd"/>
      <w:r w:rsidRPr="00725EE4">
        <w:rPr>
          <w:rFonts w:ascii="Times New Roman" w:hAnsi="Times New Roman" w:cs="Times New Roman"/>
          <w:sz w:val="18"/>
        </w:rPr>
        <w:t xml:space="preserve">, ed., Introduction to Small Water Systems, 1st ed. [online] Albany: </w:t>
      </w:r>
      <w:proofErr w:type="spellStart"/>
      <w:r w:rsidRPr="00725EE4">
        <w:rPr>
          <w:rFonts w:ascii="Times New Roman" w:hAnsi="Times New Roman" w:cs="Times New Roman"/>
          <w:sz w:val="18"/>
        </w:rPr>
        <w:t>Arasmith</w:t>
      </w:r>
      <w:proofErr w:type="spellEnd"/>
      <w:r w:rsidRPr="00725EE4">
        <w:rPr>
          <w:rFonts w:ascii="Times New Roman" w:hAnsi="Times New Roman" w:cs="Times New Roman"/>
          <w:sz w:val="18"/>
        </w:rPr>
        <w:t xml:space="preserve"> Consulting Resources Inc. Available at: https://dec.alaska.gov/water/opcert/Docs/Chapter4.pdf [Accessed 18 May 2017].</w:t>
      </w:r>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gramStart"/>
      <w:r w:rsidRPr="00725EE4">
        <w:rPr>
          <w:rFonts w:ascii="Times New Roman" w:hAnsi="Times New Roman" w:cs="Times New Roman"/>
          <w:sz w:val="18"/>
        </w:rPr>
        <w:t xml:space="preserve">Davis, M. and </w:t>
      </w:r>
      <w:proofErr w:type="spellStart"/>
      <w:r w:rsidRPr="00725EE4">
        <w:rPr>
          <w:rFonts w:ascii="Times New Roman" w:hAnsi="Times New Roman" w:cs="Times New Roman"/>
          <w:sz w:val="18"/>
        </w:rPr>
        <w:t>Masten</w:t>
      </w:r>
      <w:proofErr w:type="spellEnd"/>
      <w:r w:rsidRPr="00725EE4">
        <w:rPr>
          <w:rFonts w:ascii="Times New Roman" w:hAnsi="Times New Roman" w:cs="Times New Roman"/>
          <w:sz w:val="18"/>
        </w:rPr>
        <w:t>, S. (2009).</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Principles of Environmental Engineering &amp; Science.</w:t>
      </w:r>
      <w:proofErr w:type="gramEnd"/>
      <w:r w:rsidRPr="00725EE4">
        <w:rPr>
          <w:rFonts w:ascii="Times New Roman" w:hAnsi="Times New Roman" w:cs="Times New Roman"/>
          <w:sz w:val="18"/>
        </w:rPr>
        <w:t xml:space="preserve"> 2nd </w:t>
      </w:r>
      <w:proofErr w:type="gramStart"/>
      <w:r w:rsidRPr="00725EE4">
        <w:rPr>
          <w:rFonts w:ascii="Times New Roman" w:hAnsi="Times New Roman" w:cs="Times New Roman"/>
          <w:sz w:val="18"/>
        </w:rPr>
        <w:t>ed</w:t>
      </w:r>
      <w:proofErr w:type="gramEnd"/>
      <w:r w:rsidRPr="00725EE4">
        <w:rPr>
          <w:rFonts w:ascii="Times New Roman" w:hAnsi="Times New Roman" w:cs="Times New Roman"/>
          <w:sz w:val="18"/>
        </w:rPr>
        <w:t>. New York: McGraw-Hill.</w:t>
      </w:r>
    </w:p>
    <w:p w:rsidR="00464EC2" w:rsidRPr="00725EE4" w:rsidRDefault="00464EC2" w:rsidP="00464EC2">
      <w:pPr>
        <w:pStyle w:val="normal0"/>
        <w:widowControl w:val="0"/>
        <w:ind w:firstLine="418"/>
        <w:contextualSpacing/>
        <w:jc w:val="both"/>
        <w:rPr>
          <w:rFonts w:ascii="Times New Roman" w:hAnsi="Times New Roman" w:cs="Times New Roman"/>
          <w:sz w:val="18"/>
        </w:rPr>
      </w:pPr>
      <w:r w:rsidRPr="00725EE4">
        <w:rPr>
          <w:rFonts w:ascii="Times New Roman" w:hAnsi="Times New Roman" w:cs="Times New Roman"/>
          <w:sz w:val="18"/>
        </w:rPr>
        <w:t>Geronimo, G. (2015). Indigenous vegetables used in school feeding project. [</w:t>
      </w:r>
      <w:proofErr w:type="gramStart"/>
      <w:r w:rsidRPr="00725EE4">
        <w:rPr>
          <w:rFonts w:ascii="Times New Roman" w:hAnsi="Times New Roman" w:cs="Times New Roman"/>
          <w:sz w:val="18"/>
        </w:rPr>
        <w:t>online</w:t>
      </w:r>
      <w:proofErr w:type="gramEnd"/>
      <w:r w:rsidRPr="00725EE4">
        <w:rPr>
          <w:rFonts w:ascii="Times New Roman" w:hAnsi="Times New Roman" w:cs="Times New Roman"/>
          <w:sz w:val="18"/>
        </w:rPr>
        <w:t xml:space="preserve">] Region4a.dost.gov.ph. Available at: http://region4a.dost.gov.ph/news/714-indigenous-vegetables-used-in-school-feeding-project [Accessed 16 </w:t>
      </w:r>
      <w:r w:rsidRPr="00725EE4">
        <w:rPr>
          <w:rFonts w:ascii="Times New Roman" w:hAnsi="Times New Roman" w:cs="Times New Roman"/>
          <w:sz w:val="18"/>
        </w:rPr>
        <w:lastRenderedPageBreak/>
        <w:t>May 2017].</w:t>
      </w:r>
    </w:p>
    <w:p w:rsidR="00464EC2" w:rsidRPr="00725EE4" w:rsidRDefault="00464EC2" w:rsidP="00464EC2">
      <w:pPr>
        <w:pStyle w:val="normal0"/>
        <w:widowControl w:val="0"/>
        <w:ind w:firstLine="418"/>
        <w:contextualSpacing/>
        <w:jc w:val="both"/>
        <w:rPr>
          <w:rFonts w:ascii="Times New Roman" w:hAnsi="Times New Roman" w:cs="Times New Roman"/>
          <w:sz w:val="18"/>
        </w:rPr>
      </w:pPr>
      <w:r w:rsidRPr="00725EE4">
        <w:rPr>
          <w:rFonts w:ascii="Times New Roman" w:hAnsi="Times New Roman" w:cs="Times New Roman"/>
          <w:sz w:val="18"/>
        </w:rPr>
        <w:t xml:space="preserve"> </w:t>
      </w:r>
      <w:proofErr w:type="spellStart"/>
      <w:r w:rsidRPr="00725EE4">
        <w:rPr>
          <w:rFonts w:ascii="Times New Roman" w:hAnsi="Times New Roman" w:cs="Times New Roman"/>
          <w:sz w:val="18"/>
        </w:rPr>
        <w:t>Muthuraman</w:t>
      </w:r>
      <w:proofErr w:type="spellEnd"/>
      <w:r w:rsidRPr="00725EE4">
        <w:rPr>
          <w:rFonts w:ascii="Times New Roman" w:hAnsi="Times New Roman" w:cs="Times New Roman"/>
          <w:sz w:val="18"/>
        </w:rPr>
        <w:t xml:space="preserve">, G. and </w:t>
      </w:r>
      <w:proofErr w:type="spellStart"/>
      <w:r w:rsidRPr="00725EE4">
        <w:rPr>
          <w:rFonts w:ascii="Times New Roman" w:hAnsi="Times New Roman" w:cs="Times New Roman"/>
          <w:sz w:val="18"/>
        </w:rPr>
        <w:t>Sasikala</w:t>
      </w:r>
      <w:proofErr w:type="spellEnd"/>
      <w:r w:rsidRPr="00725EE4">
        <w:rPr>
          <w:rFonts w:ascii="Times New Roman" w:hAnsi="Times New Roman" w:cs="Times New Roman"/>
          <w:sz w:val="18"/>
        </w:rPr>
        <w:t xml:space="preserve">, S. (2014). </w:t>
      </w:r>
      <w:proofErr w:type="gramStart"/>
      <w:r w:rsidRPr="00725EE4">
        <w:rPr>
          <w:rFonts w:ascii="Times New Roman" w:hAnsi="Times New Roman" w:cs="Times New Roman"/>
          <w:sz w:val="18"/>
        </w:rPr>
        <w:t>Removal of turbidity from drinking water using natural coagulants.</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Journal of Industrial and Engineering Chemistry, 20, pp.1727-1731.</w:t>
      </w:r>
      <w:proofErr w:type="gramEnd"/>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spellStart"/>
      <w:proofErr w:type="gramStart"/>
      <w:r w:rsidRPr="00725EE4">
        <w:rPr>
          <w:rFonts w:ascii="Times New Roman" w:hAnsi="Times New Roman" w:cs="Times New Roman"/>
          <w:sz w:val="18"/>
        </w:rPr>
        <w:t>Ndabigengesere</w:t>
      </w:r>
      <w:proofErr w:type="spellEnd"/>
      <w:r w:rsidRPr="00725EE4">
        <w:rPr>
          <w:rFonts w:ascii="Times New Roman" w:hAnsi="Times New Roman" w:cs="Times New Roman"/>
          <w:sz w:val="18"/>
        </w:rPr>
        <w:t>, A.</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 xml:space="preserve">And </w:t>
      </w:r>
      <w:proofErr w:type="spellStart"/>
      <w:r w:rsidRPr="00725EE4">
        <w:rPr>
          <w:rFonts w:ascii="Times New Roman" w:hAnsi="Times New Roman" w:cs="Times New Roman"/>
          <w:sz w:val="18"/>
        </w:rPr>
        <w:t>Narasiah</w:t>
      </w:r>
      <w:proofErr w:type="spellEnd"/>
      <w:r w:rsidRPr="00725EE4">
        <w:rPr>
          <w:rFonts w:ascii="Times New Roman" w:hAnsi="Times New Roman" w:cs="Times New Roman"/>
          <w:sz w:val="18"/>
        </w:rPr>
        <w:t>, K. (1998).</w:t>
      </w:r>
      <w:proofErr w:type="gramEnd"/>
      <w:r w:rsidRPr="00725EE4">
        <w:rPr>
          <w:rFonts w:ascii="Times New Roman" w:hAnsi="Times New Roman" w:cs="Times New Roman"/>
          <w:sz w:val="18"/>
        </w:rPr>
        <w:t xml:space="preserve"> Quality </w:t>
      </w:r>
      <w:proofErr w:type="gramStart"/>
      <w:r w:rsidRPr="00725EE4">
        <w:rPr>
          <w:rFonts w:ascii="Times New Roman" w:hAnsi="Times New Roman" w:cs="Times New Roman"/>
          <w:sz w:val="18"/>
        </w:rPr>
        <w:t>Of Water Treated By</w:t>
      </w:r>
      <w:proofErr w:type="gramEnd"/>
      <w:r w:rsidRPr="00725EE4">
        <w:rPr>
          <w:rFonts w:ascii="Times New Roman" w:hAnsi="Times New Roman" w:cs="Times New Roman"/>
          <w:sz w:val="18"/>
        </w:rPr>
        <w:t xml:space="preserve"> Coagulation Using </w:t>
      </w:r>
      <w:proofErr w:type="spellStart"/>
      <w:r w:rsidRPr="00725EE4">
        <w:rPr>
          <w:rFonts w:ascii="Times New Roman" w:hAnsi="Times New Roman" w:cs="Times New Roman"/>
          <w:sz w:val="18"/>
        </w:rPr>
        <w:t>Moringa</w:t>
      </w:r>
      <w:proofErr w:type="spellEnd"/>
      <w:r w:rsidRPr="00725EE4">
        <w:rPr>
          <w:rFonts w:ascii="Times New Roman" w:hAnsi="Times New Roman" w:cs="Times New Roman"/>
          <w:sz w:val="18"/>
        </w:rPr>
        <w:t xml:space="preserve"> </w:t>
      </w:r>
      <w:proofErr w:type="spellStart"/>
      <w:r w:rsidRPr="00725EE4">
        <w:rPr>
          <w:rFonts w:ascii="Times New Roman" w:hAnsi="Times New Roman" w:cs="Times New Roman"/>
          <w:sz w:val="18"/>
        </w:rPr>
        <w:t>oleifera</w:t>
      </w:r>
      <w:proofErr w:type="spellEnd"/>
      <w:r w:rsidRPr="00725EE4">
        <w:rPr>
          <w:rFonts w:ascii="Times New Roman" w:hAnsi="Times New Roman" w:cs="Times New Roman"/>
          <w:sz w:val="18"/>
        </w:rPr>
        <w:t xml:space="preserve"> Seeds. </w:t>
      </w:r>
      <w:proofErr w:type="gramStart"/>
      <w:r w:rsidRPr="00725EE4">
        <w:rPr>
          <w:rFonts w:ascii="Times New Roman" w:hAnsi="Times New Roman" w:cs="Times New Roman"/>
          <w:sz w:val="18"/>
        </w:rPr>
        <w:t>Water Resources, 32(3), pp.781-791.</w:t>
      </w:r>
      <w:proofErr w:type="gramEnd"/>
    </w:p>
    <w:p w:rsidR="00464EC2" w:rsidRPr="00725EE4" w:rsidRDefault="00464EC2" w:rsidP="00464EC2">
      <w:pPr>
        <w:pStyle w:val="normal0"/>
        <w:widowControl w:val="0"/>
        <w:ind w:firstLine="418"/>
        <w:contextualSpacing/>
        <w:jc w:val="both"/>
        <w:rPr>
          <w:rFonts w:ascii="Times New Roman" w:hAnsi="Times New Roman" w:cs="Times New Roman"/>
          <w:sz w:val="18"/>
        </w:rPr>
      </w:pPr>
      <w:proofErr w:type="spellStart"/>
      <w:r w:rsidRPr="00725EE4">
        <w:rPr>
          <w:rFonts w:ascii="Times New Roman" w:hAnsi="Times New Roman" w:cs="Times New Roman"/>
          <w:sz w:val="18"/>
        </w:rPr>
        <w:t>Ndabigengesere</w:t>
      </w:r>
      <w:proofErr w:type="spellEnd"/>
      <w:r w:rsidRPr="00725EE4">
        <w:rPr>
          <w:rFonts w:ascii="Times New Roman" w:hAnsi="Times New Roman" w:cs="Times New Roman"/>
          <w:sz w:val="18"/>
        </w:rPr>
        <w:t xml:space="preserve">, A., </w:t>
      </w:r>
      <w:proofErr w:type="spellStart"/>
      <w:r w:rsidRPr="00725EE4">
        <w:rPr>
          <w:rFonts w:ascii="Times New Roman" w:hAnsi="Times New Roman" w:cs="Times New Roman"/>
          <w:sz w:val="18"/>
        </w:rPr>
        <w:t>Narasiah</w:t>
      </w:r>
      <w:proofErr w:type="spellEnd"/>
      <w:r w:rsidRPr="00725EE4">
        <w:rPr>
          <w:rFonts w:ascii="Times New Roman" w:hAnsi="Times New Roman" w:cs="Times New Roman"/>
          <w:sz w:val="18"/>
        </w:rPr>
        <w:t xml:space="preserve">, K. </w:t>
      </w:r>
      <w:proofErr w:type="gramStart"/>
      <w:r w:rsidRPr="00725EE4">
        <w:rPr>
          <w:rFonts w:ascii="Times New Roman" w:hAnsi="Times New Roman" w:cs="Times New Roman"/>
          <w:sz w:val="18"/>
        </w:rPr>
        <w:t>And Talbot, B. (1995).</w:t>
      </w:r>
      <w:proofErr w:type="gramEnd"/>
      <w:r w:rsidRPr="00725EE4">
        <w:rPr>
          <w:rFonts w:ascii="Times New Roman" w:hAnsi="Times New Roman" w:cs="Times New Roman"/>
          <w:sz w:val="18"/>
        </w:rPr>
        <w:t xml:space="preserve"> Active Agents </w:t>
      </w:r>
      <w:proofErr w:type="gramStart"/>
      <w:r w:rsidRPr="00725EE4">
        <w:rPr>
          <w:rFonts w:ascii="Times New Roman" w:hAnsi="Times New Roman" w:cs="Times New Roman"/>
          <w:sz w:val="18"/>
        </w:rPr>
        <w:t>And Mechanism Of Coagulation Of</w:t>
      </w:r>
      <w:proofErr w:type="gramEnd"/>
      <w:r w:rsidRPr="00725EE4">
        <w:rPr>
          <w:rFonts w:ascii="Times New Roman" w:hAnsi="Times New Roman" w:cs="Times New Roman"/>
          <w:sz w:val="18"/>
        </w:rPr>
        <w:t xml:space="preserve"> Turbid Waters Using </w:t>
      </w:r>
      <w:proofErr w:type="spellStart"/>
      <w:r w:rsidRPr="00725EE4">
        <w:rPr>
          <w:rFonts w:ascii="Times New Roman" w:hAnsi="Times New Roman" w:cs="Times New Roman"/>
          <w:sz w:val="18"/>
        </w:rPr>
        <w:t>Moringa</w:t>
      </w:r>
      <w:proofErr w:type="spellEnd"/>
      <w:r w:rsidRPr="00725EE4">
        <w:rPr>
          <w:rFonts w:ascii="Times New Roman" w:hAnsi="Times New Roman" w:cs="Times New Roman"/>
          <w:sz w:val="18"/>
        </w:rPr>
        <w:t xml:space="preserve"> </w:t>
      </w:r>
      <w:proofErr w:type="spellStart"/>
      <w:r w:rsidRPr="00725EE4">
        <w:rPr>
          <w:rFonts w:ascii="Times New Roman" w:hAnsi="Times New Roman" w:cs="Times New Roman"/>
          <w:sz w:val="18"/>
        </w:rPr>
        <w:t>oleifera</w:t>
      </w:r>
      <w:proofErr w:type="spell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Water Resources, 29(2), pp.703-710.</w:t>
      </w:r>
      <w:proofErr w:type="gramEnd"/>
    </w:p>
    <w:p w:rsidR="00B3328A" w:rsidRPr="00B3328A" w:rsidRDefault="00464EC2" w:rsidP="00B3328A">
      <w:pPr>
        <w:pStyle w:val="normal0"/>
        <w:widowControl w:val="0"/>
        <w:ind w:firstLine="418"/>
        <w:contextualSpacing/>
        <w:jc w:val="both"/>
        <w:rPr>
          <w:rFonts w:ascii="Times New Roman" w:hAnsi="Times New Roman" w:cs="Times New Roman"/>
          <w:sz w:val="18"/>
        </w:rPr>
      </w:pPr>
      <w:proofErr w:type="gramStart"/>
      <w:r w:rsidRPr="00725EE4">
        <w:rPr>
          <w:rFonts w:ascii="Times New Roman" w:hAnsi="Times New Roman" w:cs="Times New Roman"/>
          <w:sz w:val="18"/>
        </w:rPr>
        <w:t>Yin, C. (2010).</w:t>
      </w:r>
      <w:proofErr w:type="gramEnd"/>
      <w:r w:rsidRPr="00725EE4">
        <w:rPr>
          <w:rFonts w:ascii="Times New Roman" w:hAnsi="Times New Roman" w:cs="Times New Roman"/>
          <w:sz w:val="18"/>
        </w:rPr>
        <w:t xml:space="preserve"> </w:t>
      </w:r>
      <w:proofErr w:type="gramStart"/>
      <w:r w:rsidRPr="00725EE4">
        <w:rPr>
          <w:rFonts w:ascii="Times New Roman" w:hAnsi="Times New Roman" w:cs="Times New Roman"/>
          <w:sz w:val="18"/>
        </w:rPr>
        <w:t>Emerging usage of plant-based coagulants for water and wastewater treatment.</w:t>
      </w:r>
      <w:proofErr w:type="gramEnd"/>
      <w:r w:rsidRPr="00725EE4">
        <w:rPr>
          <w:rFonts w:ascii="Times New Roman" w:hAnsi="Times New Roman" w:cs="Times New Roman"/>
          <w:sz w:val="18"/>
        </w:rPr>
        <w:t xml:space="preserve"> Process Biochemistry, </w:t>
      </w:r>
      <w:bookmarkStart w:id="0" w:name="_GoBack"/>
      <w:bookmarkEnd w:id="0"/>
    </w:p>
    <w:p w:rsidR="00B3328A" w:rsidRPr="00F94CFD" w:rsidRDefault="00B3328A" w:rsidP="00B3328A">
      <w:pPr>
        <w:pStyle w:val="IWAHeading"/>
        <w:ind w:left="418" w:hanging="41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Figures</w:t>
      </w:r>
    </w:p>
    <w:p w:rsidR="00B3328A" w:rsidRPr="00B3328A" w:rsidRDefault="00B3328A" w:rsidP="00B3328A">
      <w:pPr>
        <w:pStyle w:val="IWANormalParagraph"/>
        <w:sectPr w:rsidR="00B3328A" w:rsidRPr="00B3328A" w:rsidSect="00F4629A">
          <w:headerReference w:type="default" r:id="rId9"/>
          <w:pgSz w:w="11906" w:h="16838" w:code="9"/>
          <w:pgMar w:top="2268" w:right="1418" w:bottom="2268" w:left="1701" w:header="720" w:footer="1588" w:gutter="0"/>
          <w:cols w:space="708"/>
          <w:docGrid w:linePitch="360"/>
        </w:sectPr>
      </w:pPr>
    </w:p>
    <w:p w:rsidR="001D7BA4" w:rsidRDefault="001D7BA4" w:rsidP="001D7BA4">
      <w:pPr>
        <w:jc w:val="both"/>
        <w:rPr>
          <w:rFonts w:ascii="Times" w:eastAsia="Times New Roman" w:hAnsi="Times"/>
          <w:sz w:val="20"/>
        </w:rPr>
      </w:pPr>
    </w:p>
    <w:p w:rsidR="001D7BA4" w:rsidRDefault="001D7BA4" w:rsidP="001D7BA4">
      <w:pPr>
        <w:jc w:val="both"/>
        <w:rPr>
          <w:sz w:val="20"/>
          <w:szCs w:val="20"/>
        </w:rPr>
      </w:pPr>
      <w:r>
        <w:rPr>
          <w:noProof/>
        </w:rPr>
        <w:drawing>
          <wp:inline distT="0" distB="0" distL="0" distR="0" wp14:anchorId="612537D5" wp14:editId="6BDBC2FD">
            <wp:extent cx="2835057" cy="2091847"/>
            <wp:effectExtent l="0" t="0" r="22860" b="22860"/>
            <wp:docPr id="242" name="Chart 2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4262" w:rsidRPr="00004262" w:rsidRDefault="00004262" w:rsidP="001D7BA4">
      <w:pPr>
        <w:jc w:val="center"/>
        <w:rPr>
          <w:b/>
          <w:sz w:val="16"/>
          <w:szCs w:val="20"/>
        </w:rPr>
      </w:pPr>
      <w:r>
        <w:rPr>
          <w:b/>
          <w:sz w:val="16"/>
          <w:szCs w:val="20"/>
        </w:rPr>
        <w:t>Dosage (ml)</w:t>
      </w:r>
    </w:p>
    <w:p w:rsidR="001D7BA4" w:rsidRPr="004B180A" w:rsidRDefault="001D7BA4" w:rsidP="001D7BA4">
      <w:pPr>
        <w:jc w:val="center"/>
        <w:rPr>
          <w:i/>
          <w:sz w:val="16"/>
          <w:szCs w:val="20"/>
        </w:rPr>
      </w:pPr>
      <w:proofErr w:type="gramStart"/>
      <w:r>
        <w:rPr>
          <w:i/>
          <w:sz w:val="16"/>
          <w:szCs w:val="20"/>
        </w:rPr>
        <w:t>Figure 1</w:t>
      </w:r>
      <w:r w:rsidR="00004262">
        <w:rPr>
          <w:i/>
          <w:sz w:val="16"/>
          <w:szCs w:val="20"/>
        </w:rPr>
        <w:t>.</w:t>
      </w:r>
      <w:proofErr w:type="gramEnd"/>
      <w:r w:rsidR="00004262">
        <w:rPr>
          <w:i/>
          <w:sz w:val="16"/>
          <w:szCs w:val="20"/>
        </w:rPr>
        <w:t xml:space="preserve"> Comparison of Average</w:t>
      </w:r>
      <w:r w:rsidRPr="004B180A">
        <w:rPr>
          <w:i/>
          <w:sz w:val="16"/>
          <w:szCs w:val="20"/>
        </w:rPr>
        <w:t xml:space="preserve"> </w:t>
      </w:r>
      <w:r w:rsidRPr="00004262">
        <w:rPr>
          <w:b/>
          <w:i/>
          <w:sz w:val="16"/>
          <w:szCs w:val="20"/>
        </w:rPr>
        <w:t>Turbidity Removal Efficienc</w:t>
      </w:r>
      <w:r w:rsidR="00004262" w:rsidRPr="00004262">
        <w:rPr>
          <w:b/>
          <w:i/>
          <w:sz w:val="16"/>
          <w:szCs w:val="20"/>
        </w:rPr>
        <w:t xml:space="preserve">y </w:t>
      </w:r>
      <w:r w:rsidR="00004262">
        <w:rPr>
          <w:i/>
          <w:sz w:val="16"/>
          <w:szCs w:val="20"/>
        </w:rPr>
        <w:t xml:space="preserve">of M. </w:t>
      </w:r>
      <w:proofErr w:type="spellStart"/>
      <w:r w:rsidR="00004262">
        <w:rPr>
          <w:i/>
          <w:sz w:val="16"/>
          <w:szCs w:val="20"/>
        </w:rPr>
        <w:t>oleifera</w:t>
      </w:r>
      <w:proofErr w:type="spellEnd"/>
      <w:r w:rsidR="00004262">
        <w:rPr>
          <w:i/>
          <w:sz w:val="16"/>
          <w:szCs w:val="20"/>
        </w:rPr>
        <w:t xml:space="preserve"> in River Water </w:t>
      </w:r>
    </w:p>
    <w:p w:rsidR="001D7BA4" w:rsidRDefault="001D7BA4" w:rsidP="001D7BA4">
      <w:pPr>
        <w:jc w:val="both"/>
        <w:rPr>
          <w:sz w:val="20"/>
          <w:szCs w:val="20"/>
        </w:rPr>
      </w:pPr>
    </w:p>
    <w:p w:rsidR="00004262" w:rsidRDefault="00004262" w:rsidP="001D7BA4">
      <w:pPr>
        <w:jc w:val="both"/>
        <w:rPr>
          <w:sz w:val="20"/>
          <w:szCs w:val="20"/>
        </w:rPr>
      </w:pPr>
    </w:p>
    <w:p w:rsidR="001D7BA4" w:rsidRDefault="001D7BA4" w:rsidP="001D7BA4">
      <w:pPr>
        <w:jc w:val="both"/>
        <w:rPr>
          <w:sz w:val="20"/>
          <w:szCs w:val="20"/>
        </w:rPr>
      </w:pPr>
    </w:p>
    <w:p w:rsidR="001D7BA4" w:rsidRDefault="001D7BA4" w:rsidP="001D7BA4">
      <w:pPr>
        <w:jc w:val="both"/>
        <w:rPr>
          <w:sz w:val="20"/>
          <w:szCs w:val="20"/>
        </w:rPr>
      </w:pPr>
      <w:r>
        <w:rPr>
          <w:noProof/>
        </w:rPr>
        <w:drawing>
          <wp:inline distT="0" distB="0" distL="0" distR="0" wp14:anchorId="68D4513A" wp14:editId="343D1EE0">
            <wp:extent cx="2637155" cy="1928162"/>
            <wp:effectExtent l="0" t="0" r="29845" b="27940"/>
            <wp:docPr id="244" name="Chart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4262" w:rsidRPr="00004262" w:rsidRDefault="00004262" w:rsidP="00004262">
      <w:pPr>
        <w:jc w:val="center"/>
        <w:rPr>
          <w:b/>
          <w:sz w:val="16"/>
          <w:szCs w:val="20"/>
        </w:rPr>
      </w:pPr>
      <w:r>
        <w:rPr>
          <w:b/>
          <w:sz w:val="16"/>
          <w:szCs w:val="20"/>
        </w:rPr>
        <w:t>Dosage (ml)</w:t>
      </w:r>
    </w:p>
    <w:p w:rsidR="001D7BA4" w:rsidRPr="004B180A" w:rsidRDefault="001D7BA4" w:rsidP="001D7BA4">
      <w:pPr>
        <w:jc w:val="center"/>
        <w:rPr>
          <w:i/>
          <w:sz w:val="16"/>
          <w:szCs w:val="16"/>
        </w:rPr>
      </w:pPr>
      <w:proofErr w:type="gramStart"/>
      <w:r>
        <w:rPr>
          <w:i/>
          <w:sz w:val="16"/>
          <w:szCs w:val="16"/>
        </w:rPr>
        <w:t>Figure 2</w:t>
      </w:r>
      <w:r w:rsidRPr="004B180A">
        <w:rPr>
          <w:i/>
          <w:sz w:val="16"/>
          <w:szCs w:val="16"/>
        </w:rPr>
        <w:t>.</w:t>
      </w:r>
      <w:proofErr w:type="gramEnd"/>
      <w:r w:rsidRPr="004B180A">
        <w:rPr>
          <w:i/>
          <w:sz w:val="16"/>
          <w:szCs w:val="16"/>
        </w:rPr>
        <w:t xml:space="preserve"> </w:t>
      </w:r>
      <w:r w:rsidR="00004262">
        <w:rPr>
          <w:bCs/>
          <w:i/>
          <w:sz w:val="16"/>
          <w:szCs w:val="16"/>
        </w:rPr>
        <w:t>Comparison of Average</w:t>
      </w:r>
      <w:r w:rsidRPr="004B180A">
        <w:rPr>
          <w:bCs/>
          <w:i/>
          <w:sz w:val="16"/>
          <w:szCs w:val="16"/>
        </w:rPr>
        <w:t xml:space="preserve"> </w:t>
      </w:r>
      <w:r w:rsidRPr="00004262">
        <w:rPr>
          <w:b/>
          <w:bCs/>
          <w:i/>
          <w:sz w:val="16"/>
          <w:szCs w:val="16"/>
        </w:rPr>
        <w:t xml:space="preserve">TSS Removal Efficiency </w:t>
      </w:r>
      <w:r w:rsidRPr="004B180A">
        <w:rPr>
          <w:bCs/>
          <w:i/>
          <w:sz w:val="16"/>
          <w:szCs w:val="16"/>
        </w:rPr>
        <w:t>of</w:t>
      </w:r>
    </w:p>
    <w:p w:rsidR="001D7BA4" w:rsidRPr="004B180A" w:rsidRDefault="001D7BA4" w:rsidP="001D7BA4">
      <w:pPr>
        <w:jc w:val="center"/>
        <w:rPr>
          <w:sz w:val="20"/>
          <w:szCs w:val="20"/>
        </w:rPr>
      </w:pPr>
      <w:r w:rsidRPr="004B180A">
        <w:rPr>
          <w:bCs/>
          <w:i/>
          <w:sz w:val="16"/>
          <w:szCs w:val="16"/>
        </w:rPr>
        <w:t xml:space="preserve">M. </w:t>
      </w:r>
      <w:proofErr w:type="spellStart"/>
      <w:r w:rsidRPr="004B180A">
        <w:rPr>
          <w:bCs/>
          <w:i/>
          <w:sz w:val="16"/>
          <w:szCs w:val="16"/>
        </w:rPr>
        <w:t>oleifera</w:t>
      </w:r>
      <w:proofErr w:type="spellEnd"/>
      <w:r w:rsidRPr="004B180A">
        <w:rPr>
          <w:bCs/>
          <w:i/>
          <w:sz w:val="16"/>
          <w:szCs w:val="16"/>
        </w:rPr>
        <w:t xml:space="preserve"> in Wastewater</w:t>
      </w:r>
    </w:p>
    <w:p w:rsidR="001D7BA4" w:rsidRPr="004B180A" w:rsidRDefault="001D7BA4" w:rsidP="001D7BA4">
      <w:pPr>
        <w:jc w:val="both"/>
        <w:rPr>
          <w:sz w:val="20"/>
          <w:szCs w:val="20"/>
        </w:rPr>
      </w:pPr>
    </w:p>
    <w:p w:rsidR="001D7BA4" w:rsidRDefault="001D7BA4" w:rsidP="001D7BA4">
      <w:pPr>
        <w:jc w:val="both"/>
        <w:rPr>
          <w:bCs/>
          <w:sz w:val="20"/>
          <w:szCs w:val="20"/>
        </w:rPr>
      </w:pPr>
    </w:p>
    <w:p w:rsidR="00004262" w:rsidRDefault="00004262" w:rsidP="001D7BA4">
      <w:pPr>
        <w:jc w:val="both"/>
        <w:rPr>
          <w:bCs/>
          <w:sz w:val="20"/>
          <w:szCs w:val="20"/>
        </w:rPr>
      </w:pPr>
    </w:p>
    <w:p w:rsidR="001D7BA4" w:rsidRDefault="001D7BA4" w:rsidP="001D7BA4">
      <w:pPr>
        <w:jc w:val="both"/>
        <w:rPr>
          <w:bCs/>
          <w:sz w:val="20"/>
          <w:szCs w:val="20"/>
        </w:rPr>
      </w:pPr>
    </w:p>
    <w:p w:rsidR="001D7BA4" w:rsidRDefault="001D7BA4" w:rsidP="001D7BA4">
      <w:pPr>
        <w:jc w:val="both"/>
        <w:rPr>
          <w:bCs/>
          <w:sz w:val="20"/>
          <w:szCs w:val="20"/>
        </w:rPr>
      </w:pPr>
      <w:r>
        <w:rPr>
          <w:noProof/>
        </w:rPr>
        <w:lastRenderedPageBreak/>
        <w:drawing>
          <wp:inline distT="0" distB="0" distL="0" distR="0" wp14:anchorId="27D63412" wp14:editId="5F984EF5">
            <wp:extent cx="2638816" cy="2121074"/>
            <wp:effectExtent l="0" t="0" r="9525" b="12700"/>
            <wp:docPr id="245" name="Chart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4262" w:rsidRPr="00004262" w:rsidRDefault="00004262" w:rsidP="00004262">
      <w:pPr>
        <w:jc w:val="center"/>
        <w:rPr>
          <w:b/>
          <w:sz w:val="16"/>
          <w:szCs w:val="20"/>
        </w:rPr>
      </w:pPr>
      <w:r>
        <w:rPr>
          <w:b/>
          <w:sz w:val="16"/>
          <w:szCs w:val="20"/>
        </w:rPr>
        <w:t>Dosage (ml)</w:t>
      </w:r>
    </w:p>
    <w:p w:rsidR="001D7BA4" w:rsidRDefault="001D7BA4" w:rsidP="001D7BA4">
      <w:pPr>
        <w:jc w:val="center"/>
        <w:rPr>
          <w:bCs/>
          <w:i/>
          <w:sz w:val="16"/>
        </w:rPr>
      </w:pPr>
      <w:proofErr w:type="gramStart"/>
      <w:r>
        <w:rPr>
          <w:bCs/>
          <w:i/>
          <w:sz w:val="16"/>
        </w:rPr>
        <w:t>Figure 3</w:t>
      </w:r>
      <w:r w:rsidRPr="00BF6AEE">
        <w:rPr>
          <w:bCs/>
          <w:i/>
          <w:sz w:val="16"/>
        </w:rPr>
        <w:t>.</w:t>
      </w:r>
      <w:proofErr w:type="gramEnd"/>
      <w:r w:rsidRPr="00BF6AEE">
        <w:rPr>
          <w:bCs/>
          <w:i/>
          <w:sz w:val="16"/>
        </w:rPr>
        <w:t xml:space="preserve"> Comparison of the Effectiveness of M. </w:t>
      </w:r>
      <w:proofErr w:type="spellStart"/>
      <w:r w:rsidRPr="00BF6AEE">
        <w:rPr>
          <w:bCs/>
          <w:i/>
          <w:sz w:val="16"/>
        </w:rPr>
        <w:t>oleifera</w:t>
      </w:r>
      <w:proofErr w:type="spellEnd"/>
      <w:r w:rsidRPr="00BF6AEE">
        <w:rPr>
          <w:bCs/>
          <w:i/>
          <w:sz w:val="16"/>
        </w:rPr>
        <w:t xml:space="preserve"> Against </w:t>
      </w:r>
      <w:proofErr w:type="spellStart"/>
      <w:r w:rsidRPr="00BF6AEE">
        <w:rPr>
          <w:bCs/>
          <w:i/>
          <w:sz w:val="16"/>
        </w:rPr>
        <w:t>Aluminum</w:t>
      </w:r>
      <w:proofErr w:type="spellEnd"/>
      <w:r w:rsidRPr="00BF6AEE">
        <w:rPr>
          <w:bCs/>
          <w:i/>
          <w:sz w:val="16"/>
        </w:rPr>
        <w:t xml:space="preserve"> </w:t>
      </w:r>
      <w:proofErr w:type="spellStart"/>
      <w:r w:rsidRPr="00BF6AEE">
        <w:rPr>
          <w:bCs/>
          <w:i/>
          <w:sz w:val="16"/>
        </w:rPr>
        <w:t>Sulfate</w:t>
      </w:r>
      <w:proofErr w:type="spellEnd"/>
      <w:r w:rsidRPr="00BF6AEE">
        <w:rPr>
          <w:bCs/>
          <w:i/>
          <w:sz w:val="16"/>
        </w:rPr>
        <w:t xml:space="preserve"> (River Water)</w:t>
      </w:r>
    </w:p>
    <w:p w:rsidR="001D7BA4" w:rsidRDefault="001D7BA4" w:rsidP="00004262">
      <w:pPr>
        <w:rPr>
          <w:bCs/>
          <w:i/>
          <w:sz w:val="16"/>
        </w:rPr>
      </w:pPr>
    </w:p>
    <w:p w:rsidR="00004262" w:rsidRDefault="00004262" w:rsidP="00004262">
      <w:pPr>
        <w:rPr>
          <w:bCs/>
          <w:i/>
          <w:sz w:val="16"/>
        </w:rPr>
      </w:pPr>
    </w:p>
    <w:p w:rsidR="001D7BA4" w:rsidRPr="00BF6AEE" w:rsidRDefault="001D7BA4" w:rsidP="001D7BA4">
      <w:pPr>
        <w:jc w:val="center"/>
        <w:rPr>
          <w:i/>
          <w:sz w:val="20"/>
        </w:rPr>
      </w:pPr>
    </w:p>
    <w:p w:rsidR="001D7BA4" w:rsidRDefault="001D7BA4" w:rsidP="001D7BA4">
      <w:pPr>
        <w:jc w:val="both"/>
        <w:rPr>
          <w:sz w:val="20"/>
        </w:rPr>
      </w:pPr>
      <w:r>
        <w:rPr>
          <w:noProof/>
        </w:rPr>
        <w:drawing>
          <wp:inline distT="0" distB="0" distL="0" distR="0" wp14:anchorId="711A0496" wp14:editId="0E2EEACD">
            <wp:extent cx="2637155" cy="1841541"/>
            <wp:effectExtent l="0" t="0" r="29845" b="12700"/>
            <wp:docPr id="247" name="Chart 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262" w:rsidRPr="00004262" w:rsidRDefault="00004262" w:rsidP="00004262">
      <w:pPr>
        <w:jc w:val="center"/>
        <w:rPr>
          <w:b/>
          <w:sz w:val="16"/>
          <w:szCs w:val="20"/>
        </w:rPr>
      </w:pPr>
      <w:r>
        <w:rPr>
          <w:b/>
          <w:sz w:val="16"/>
          <w:szCs w:val="20"/>
        </w:rPr>
        <w:t>Dosage (ml)</w:t>
      </w:r>
    </w:p>
    <w:p w:rsidR="001D7BA4" w:rsidRPr="00BF6AEE" w:rsidRDefault="001D7BA4" w:rsidP="001D7BA4">
      <w:pPr>
        <w:jc w:val="center"/>
        <w:rPr>
          <w:i/>
          <w:sz w:val="16"/>
        </w:rPr>
      </w:pPr>
      <w:proofErr w:type="gramStart"/>
      <w:r w:rsidRPr="00BF6AEE">
        <w:rPr>
          <w:bCs/>
          <w:i/>
          <w:sz w:val="16"/>
        </w:rPr>
        <w:t>Figure 6.</w:t>
      </w:r>
      <w:proofErr w:type="gramEnd"/>
      <w:r w:rsidRPr="00BF6AEE">
        <w:rPr>
          <w:bCs/>
          <w:i/>
          <w:sz w:val="16"/>
        </w:rPr>
        <w:t xml:space="preserve"> Comparison of the Effectiveness of M. </w:t>
      </w:r>
      <w:proofErr w:type="spellStart"/>
      <w:r w:rsidRPr="00BF6AEE">
        <w:rPr>
          <w:bCs/>
          <w:i/>
          <w:sz w:val="16"/>
        </w:rPr>
        <w:t>oleifera</w:t>
      </w:r>
      <w:proofErr w:type="spellEnd"/>
      <w:r w:rsidRPr="00BF6AEE">
        <w:rPr>
          <w:bCs/>
          <w:i/>
          <w:sz w:val="16"/>
        </w:rPr>
        <w:t xml:space="preserve"> Against </w:t>
      </w:r>
      <w:proofErr w:type="spellStart"/>
      <w:r w:rsidRPr="00BF6AEE">
        <w:rPr>
          <w:bCs/>
          <w:i/>
          <w:sz w:val="16"/>
        </w:rPr>
        <w:t>Aluminum</w:t>
      </w:r>
      <w:proofErr w:type="spellEnd"/>
      <w:r w:rsidRPr="00BF6AEE">
        <w:rPr>
          <w:bCs/>
          <w:i/>
          <w:sz w:val="16"/>
        </w:rPr>
        <w:t xml:space="preserve"> </w:t>
      </w:r>
      <w:proofErr w:type="spellStart"/>
      <w:r w:rsidRPr="00BF6AEE">
        <w:rPr>
          <w:bCs/>
          <w:i/>
          <w:sz w:val="16"/>
        </w:rPr>
        <w:t>Sulfate</w:t>
      </w:r>
      <w:proofErr w:type="spellEnd"/>
      <w:r w:rsidRPr="00BF6AEE">
        <w:rPr>
          <w:bCs/>
          <w:i/>
          <w:sz w:val="16"/>
        </w:rPr>
        <w:t xml:space="preserve"> (Wastewater)</w:t>
      </w:r>
    </w:p>
    <w:p w:rsidR="00725EE4" w:rsidRDefault="00725EE4" w:rsidP="00573278">
      <w:pPr>
        <w:pStyle w:val="IWAHeading"/>
        <w:spacing w:before="240" w:line="276" w:lineRule="auto"/>
        <w:ind w:left="418" w:hanging="418"/>
        <w:jc w:val="both"/>
        <w:rPr>
          <w:rFonts w:ascii="Times New Roman" w:hAnsi="Times New Roman" w:cs="Times New Roman"/>
          <w:sz w:val="22"/>
          <w:szCs w:val="22"/>
        </w:rPr>
      </w:pPr>
    </w:p>
    <w:p w:rsidR="00725EE4" w:rsidRDefault="00725EE4" w:rsidP="00573278">
      <w:pPr>
        <w:pStyle w:val="IWAHeading"/>
        <w:spacing w:before="240" w:line="276" w:lineRule="auto"/>
        <w:ind w:left="418" w:hanging="418"/>
        <w:jc w:val="both"/>
        <w:rPr>
          <w:rFonts w:ascii="Times New Roman" w:hAnsi="Times New Roman" w:cs="Times New Roman"/>
          <w:sz w:val="22"/>
          <w:szCs w:val="22"/>
        </w:rPr>
      </w:pPr>
    </w:p>
    <w:sectPr w:rsidR="00725EE4" w:rsidSect="00464EC2">
      <w:type w:val="continuous"/>
      <w:pgSz w:w="11906" w:h="16838" w:code="9"/>
      <w:pgMar w:top="2268" w:right="1418" w:bottom="2268" w:left="1701" w:header="720" w:footer="158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AEB" w:rsidRDefault="00EE3AEB" w:rsidP="00C02F76">
      <w:r>
        <w:separator/>
      </w:r>
    </w:p>
  </w:endnote>
  <w:endnote w:type="continuationSeparator" w:id="0">
    <w:p w:rsidR="00EE3AEB" w:rsidRDefault="00EE3AEB" w:rsidP="00C0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52ˇ">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AEB" w:rsidRDefault="00EE3AEB" w:rsidP="00C02F76">
      <w:r>
        <w:separator/>
      </w:r>
    </w:p>
  </w:footnote>
  <w:footnote w:type="continuationSeparator" w:id="0">
    <w:p w:rsidR="00EE3AEB" w:rsidRDefault="00EE3AEB" w:rsidP="00C02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490" w:rsidRPr="009F3A21" w:rsidRDefault="009A1490" w:rsidP="00132307">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rsidR="009A1490" w:rsidRPr="009F3A21" w:rsidRDefault="00725EE4" w:rsidP="008A6C53">
    <w:pPr>
      <w:jc w:val="center"/>
      <w:rPr>
        <w:rFonts w:ascii="Calibri Light" w:hAnsi="Calibri Light" w:cs="*'52ˇ"/>
        <w:b/>
      </w:rPr>
    </w:pPr>
    <w:r>
      <w:rPr>
        <w:noProof/>
        <w:sz w:val="26"/>
        <w:szCs w:val="26"/>
        <w:lang w:val="en-US" w:eastAsia="en-US"/>
      </w:rPr>
      <w:drawing>
        <wp:anchor distT="0" distB="0" distL="114300" distR="114300" simplePos="0" relativeHeight="251658752" behindDoc="0" locked="0" layoutInCell="1" allowOverlap="1" wp14:anchorId="33834E76" wp14:editId="4F65DE1B">
          <wp:simplePos x="0" y="0"/>
          <wp:positionH relativeFrom="column">
            <wp:posOffset>4057015</wp:posOffset>
          </wp:positionH>
          <wp:positionV relativeFrom="paragraph">
            <wp:posOffset>153035</wp:posOffset>
          </wp:positionV>
          <wp:extent cx="538480" cy="548640"/>
          <wp:effectExtent l="0" t="0" r="0" b="381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704" behindDoc="1" locked="0" layoutInCell="1" allowOverlap="1" wp14:anchorId="12069877" wp14:editId="2213BADD">
          <wp:simplePos x="0" y="0"/>
          <wp:positionH relativeFrom="margin">
            <wp:posOffset>1724025</wp:posOffset>
          </wp:positionH>
          <wp:positionV relativeFrom="paragraph">
            <wp:posOffset>255905</wp:posOffset>
          </wp:positionV>
          <wp:extent cx="2061845" cy="411480"/>
          <wp:effectExtent l="0" t="0" r="0" b="762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490" w:rsidRPr="009F3A21">
      <w:rPr>
        <w:rFonts w:ascii="Calibri Light" w:hAnsi="Calibri Light" w:cs="*'52ˇ"/>
        <w:b/>
      </w:rPr>
      <w:t xml:space="preserve"> “Environmental Protection toward Green Development”</w:t>
    </w:r>
  </w:p>
  <w:p w:rsidR="00C04323" w:rsidRDefault="00725EE4" w:rsidP="0018021E">
    <w:pPr>
      <w:pStyle w:val="Header"/>
      <w:rPr>
        <w:lang w:val="vi-VN"/>
      </w:rPr>
    </w:pPr>
    <w:r>
      <w:rPr>
        <w:noProof/>
        <w:sz w:val="26"/>
        <w:szCs w:val="26"/>
        <w:lang w:val="en-US" w:eastAsia="en-US"/>
      </w:rPr>
      <w:drawing>
        <wp:anchor distT="0" distB="0" distL="114300" distR="114300" simplePos="0" relativeHeight="251657728" behindDoc="0" locked="0" layoutInCell="1" allowOverlap="1" wp14:anchorId="69F47B83" wp14:editId="63333883">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1066" y="0"/>
              <wp:lineTo x="1066" y="21110"/>
              <wp:lineTo x="20250" y="21110"/>
              <wp:lineTo x="20250" y="0"/>
              <wp:lineTo x="1066" y="0"/>
            </wp:wrapPolygon>
          </wp:wrapThrough>
          <wp:docPr id="6" name="Picture 5129"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323" w:rsidRDefault="00C04323" w:rsidP="0018021E">
    <w:pPr>
      <w:pStyle w:val="Header"/>
      <w:rPr>
        <w:lang w:val="vi-VN"/>
      </w:rPr>
    </w:pPr>
  </w:p>
  <w:p w:rsidR="009A1490" w:rsidRPr="00303722" w:rsidRDefault="00023D13" w:rsidP="0018021E">
    <w:pPr>
      <w:pStyle w:val="Header"/>
      <w:rPr>
        <w:lang w:val="vi-VN"/>
      </w:rPr>
    </w:pPr>
    <w:r>
      <w:rPr>
        <w:lang w:val="vi-VN"/>
      </w:rPr>
      <w:t>_______________</w:t>
    </w:r>
    <w:r w:rsidR="00C04323">
      <w:rPr>
        <w:lang w:val="vi-VN"/>
      </w:rPr>
      <w:t>__________________________________________</w:t>
    </w:r>
    <w:r>
      <w:rPr>
        <w:lang w:val="vi-VN"/>
      </w:rPr>
      <w:t>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42E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A622A3"/>
    <w:multiLevelType w:val="hybridMultilevel"/>
    <w:tmpl w:val="9A5E7C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12282"/>
    <w:multiLevelType w:val="hybridMultilevel"/>
    <w:tmpl w:val="2AEE6668"/>
    <w:lvl w:ilvl="0" w:tplc="04130001">
      <w:start w:val="1"/>
      <w:numFmt w:val="bullet"/>
      <w:lvlText w:val=""/>
      <w:lvlJc w:val="left"/>
      <w:pPr>
        <w:ind w:left="930" w:hanging="360"/>
      </w:pPr>
      <w:rPr>
        <w:rFonts w:ascii="Symbol" w:hAnsi="Symbol" w:hint="default"/>
      </w:rPr>
    </w:lvl>
    <w:lvl w:ilvl="1" w:tplc="04130003" w:tentative="1">
      <w:start w:val="1"/>
      <w:numFmt w:val="bullet"/>
      <w:lvlText w:val="o"/>
      <w:lvlJc w:val="left"/>
      <w:pPr>
        <w:ind w:left="1650" w:hanging="360"/>
      </w:pPr>
      <w:rPr>
        <w:rFonts w:ascii="Courier New" w:hAnsi="Courier New" w:cs="Courier New" w:hint="default"/>
      </w:rPr>
    </w:lvl>
    <w:lvl w:ilvl="2" w:tplc="04130005" w:tentative="1">
      <w:start w:val="1"/>
      <w:numFmt w:val="bullet"/>
      <w:lvlText w:val=""/>
      <w:lvlJc w:val="left"/>
      <w:pPr>
        <w:ind w:left="2370" w:hanging="360"/>
      </w:pPr>
      <w:rPr>
        <w:rFonts w:ascii="Wingdings" w:hAnsi="Wingdings" w:hint="default"/>
      </w:rPr>
    </w:lvl>
    <w:lvl w:ilvl="3" w:tplc="04130001" w:tentative="1">
      <w:start w:val="1"/>
      <w:numFmt w:val="bullet"/>
      <w:lvlText w:val=""/>
      <w:lvlJc w:val="left"/>
      <w:pPr>
        <w:ind w:left="3090" w:hanging="360"/>
      </w:pPr>
      <w:rPr>
        <w:rFonts w:ascii="Symbol" w:hAnsi="Symbol" w:hint="default"/>
      </w:rPr>
    </w:lvl>
    <w:lvl w:ilvl="4" w:tplc="04130003" w:tentative="1">
      <w:start w:val="1"/>
      <w:numFmt w:val="bullet"/>
      <w:lvlText w:val="o"/>
      <w:lvlJc w:val="left"/>
      <w:pPr>
        <w:ind w:left="3810" w:hanging="360"/>
      </w:pPr>
      <w:rPr>
        <w:rFonts w:ascii="Courier New" w:hAnsi="Courier New" w:cs="Courier New" w:hint="default"/>
      </w:rPr>
    </w:lvl>
    <w:lvl w:ilvl="5" w:tplc="04130005" w:tentative="1">
      <w:start w:val="1"/>
      <w:numFmt w:val="bullet"/>
      <w:lvlText w:val=""/>
      <w:lvlJc w:val="left"/>
      <w:pPr>
        <w:ind w:left="4530" w:hanging="360"/>
      </w:pPr>
      <w:rPr>
        <w:rFonts w:ascii="Wingdings" w:hAnsi="Wingdings" w:hint="default"/>
      </w:rPr>
    </w:lvl>
    <w:lvl w:ilvl="6" w:tplc="04130001" w:tentative="1">
      <w:start w:val="1"/>
      <w:numFmt w:val="bullet"/>
      <w:lvlText w:val=""/>
      <w:lvlJc w:val="left"/>
      <w:pPr>
        <w:ind w:left="5250" w:hanging="360"/>
      </w:pPr>
      <w:rPr>
        <w:rFonts w:ascii="Symbol" w:hAnsi="Symbol" w:hint="default"/>
      </w:rPr>
    </w:lvl>
    <w:lvl w:ilvl="7" w:tplc="04130003" w:tentative="1">
      <w:start w:val="1"/>
      <w:numFmt w:val="bullet"/>
      <w:lvlText w:val="o"/>
      <w:lvlJc w:val="left"/>
      <w:pPr>
        <w:ind w:left="5970" w:hanging="360"/>
      </w:pPr>
      <w:rPr>
        <w:rFonts w:ascii="Courier New" w:hAnsi="Courier New" w:cs="Courier New" w:hint="default"/>
      </w:rPr>
    </w:lvl>
    <w:lvl w:ilvl="8" w:tplc="04130005" w:tentative="1">
      <w:start w:val="1"/>
      <w:numFmt w:val="bullet"/>
      <w:lvlText w:val=""/>
      <w:lvlJc w:val="left"/>
      <w:pPr>
        <w:ind w:left="66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99"/>
    <w:rsid w:val="00004262"/>
    <w:rsid w:val="00023D13"/>
    <w:rsid w:val="00031D97"/>
    <w:rsid w:val="000333E3"/>
    <w:rsid w:val="00036FC4"/>
    <w:rsid w:val="000457CF"/>
    <w:rsid w:val="00052C2F"/>
    <w:rsid w:val="00060A73"/>
    <w:rsid w:val="00091567"/>
    <w:rsid w:val="00096CA8"/>
    <w:rsid w:val="000A6BB8"/>
    <w:rsid w:val="000C0833"/>
    <w:rsid w:val="000C6765"/>
    <w:rsid w:val="000E25B2"/>
    <w:rsid w:val="0010234A"/>
    <w:rsid w:val="00111C1B"/>
    <w:rsid w:val="00116A8F"/>
    <w:rsid w:val="00132307"/>
    <w:rsid w:val="00133205"/>
    <w:rsid w:val="00137A2D"/>
    <w:rsid w:val="00147D54"/>
    <w:rsid w:val="00177A69"/>
    <w:rsid w:val="0018021E"/>
    <w:rsid w:val="001A04C1"/>
    <w:rsid w:val="001C668D"/>
    <w:rsid w:val="001D7BA4"/>
    <w:rsid w:val="001F65BE"/>
    <w:rsid w:val="002127CB"/>
    <w:rsid w:val="0022532E"/>
    <w:rsid w:val="00231AE9"/>
    <w:rsid w:val="00245166"/>
    <w:rsid w:val="00250F4B"/>
    <w:rsid w:val="002635CB"/>
    <w:rsid w:val="00277B4D"/>
    <w:rsid w:val="00294865"/>
    <w:rsid w:val="002A2442"/>
    <w:rsid w:val="002B7884"/>
    <w:rsid w:val="002C0F5F"/>
    <w:rsid w:val="002D141A"/>
    <w:rsid w:val="002F55E8"/>
    <w:rsid w:val="002F7642"/>
    <w:rsid w:val="00303722"/>
    <w:rsid w:val="00312D35"/>
    <w:rsid w:val="003230E0"/>
    <w:rsid w:val="003274F4"/>
    <w:rsid w:val="0033183E"/>
    <w:rsid w:val="003368A7"/>
    <w:rsid w:val="00371762"/>
    <w:rsid w:val="003A05AF"/>
    <w:rsid w:val="003C0EF6"/>
    <w:rsid w:val="003E544E"/>
    <w:rsid w:val="003E6AC1"/>
    <w:rsid w:val="00436CDF"/>
    <w:rsid w:val="00443527"/>
    <w:rsid w:val="00463BDF"/>
    <w:rsid w:val="00464EC2"/>
    <w:rsid w:val="00480966"/>
    <w:rsid w:val="004947A4"/>
    <w:rsid w:val="004965DD"/>
    <w:rsid w:val="004A3301"/>
    <w:rsid w:val="004A7753"/>
    <w:rsid w:val="004C0D94"/>
    <w:rsid w:val="004C32EB"/>
    <w:rsid w:val="004D382F"/>
    <w:rsid w:val="004E57CB"/>
    <w:rsid w:val="004F6E26"/>
    <w:rsid w:val="005475FB"/>
    <w:rsid w:val="00550C3A"/>
    <w:rsid w:val="005608A7"/>
    <w:rsid w:val="005615DD"/>
    <w:rsid w:val="00571790"/>
    <w:rsid w:val="00573278"/>
    <w:rsid w:val="0058464A"/>
    <w:rsid w:val="00587E47"/>
    <w:rsid w:val="005A064B"/>
    <w:rsid w:val="005A6359"/>
    <w:rsid w:val="005F402C"/>
    <w:rsid w:val="006154D0"/>
    <w:rsid w:val="00621D32"/>
    <w:rsid w:val="006239E4"/>
    <w:rsid w:val="006275A8"/>
    <w:rsid w:val="00627FB6"/>
    <w:rsid w:val="006325FF"/>
    <w:rsid w:val="00632FBC"/>
    <w:rsid w:val="00634DBB"/>
    <w:rsid w:val="00652D76"/>
    <w:rsid w:val="006617C5"/>
    <w:rsid w:val="00662552"/>
    <w:rsid w:val="00662E69"/>
    <w:rsid w:val="00685387"/>
    <w:rsid w:val="00690C5A"/>
    <w:rsid w:val="00691D1D"/>
    <w:rsid w:val="00697DF1"/>
    <w:rsid w:val="006A7E78"/>
    <w:rsid w:val="006B5B5E"/>
    <w:rsid w:val="006C21EE"/>
    <w:rsid w:val="006D021E"/>
    <w:rsid w:val="00704500"/>
    <w:rsid w:val="00713C52"/>
    <w:rsid w:val="00721ED7"/>
    <w:rsid w:val="00725EE4"/>
    <w:rsid w:val="007437A6"/>
    <w:rsid w:val="007676E1"/>
    <w:rsid w:val="0078690D"/>
    <w:rsid w:val="007A279C"/>
    <w:rsid w:val="007A3D63"/>
    <w:rsid w:val="007A7880"/>
    <w:rsid w:val="007B27BF"/>
    <w:rsid w:val="007B796D"/>
    <w:rsid w:val="007C478C"/>
    <w:rsid w:val="007D1DD3"/>
    <w:rsid w:val="007E1B2A"/>
    <w:rsid w:val="007E6E5B"/>
    <w:rsid w:val="00800C32"/>
    <w:rsid w:val="00830CE3"/>
    <w:rsid w:val="008363AD"/>
    <w:rsid w:val="00852964"/>
    <w:rsid w:val="00866256"/>
    <w:rsid w:val="00897413"/>
    <w:rsid w:val="008A6C53"/>
    <w:rsid w:val="008B3286"/>
    <w:rsid w:val="008D2510"/>
    <w:rsid w:val="00906008"/>
    <w:rsid w:val="009148BA"/>
    <w:rsid w:val="00917C8D"/>
    <w:rsid w:val="00957ED9"/>
    <w:rsid w:val="00963C04"/>
    <w:rsid w:val="00965465"/>
    <w:rsid w:val="00973D49"/>
    <w:rsid w:val="00974F39"/>
    <w:rsid w:val="00983310"/>
    <w:rsid w:val="009A1490"/>
    <w:rsid w:val="009D306A"/>
    <w:rsid w:val="009D3809"/>
    <w:rsid w:val="009E5467"/>
    <w:rsid w:val="009F0B81"/>
    <w:rsid w:val="009F12F7"/>
    <w:rsid w:val="009F3A21"/>
    <w:rsid w:val="00A0378B"/>
    <w:rsid w:val="00A7117D"/>
    <w:rsid w:val="00A827A7"/>
    <w:rsid w:val="00AD1E5F"/>
    <w:rsid w:val="00AD20FF"/>
    <w:rsid w:val="00B035B9"/>
    <w:rsid w:val="00B04553"/>
    <w:rsid w:val="00B072A0"/>
    <w:rsid w:val="00B14516"/>
    <w:rsid w:val="00B2126F"/>
    <w:rsid w:val="00B234CD"/>
    <w:rsid w:val="00B26A0F"/>
    <w:rsid w:val="00B3328A"/>
    <w:rsid w:val="00B42F24"/>
    <w:rsid w:val="00B479D1"/>
    <w:rsid w:val="00B519E0"/>
    <w:rsid w:val="00B60F9B"/>
    <w:rsid w:val="00B87EAD"/>
    <w:rsid w:val="00B92E86"/>
    <w:rsid w:val="00B93AE1"/>
    <w:rsid w:val="00BE50A6"/>
    <w:rsid w:val="00BF6DB8"/>
    <w:rsid w:val="00C00727"/>
    <w:rsid w:val="00C027D7"/>
    <w:rsid w:val="00C02DF5"/>
    <w:rsid w:val="00C02F76"/>
    <w:rsid w:val="00C04323"/>
    <w:rsid w:val="00C062CD"/>
    <w:rsid w:val="00C15083"/>
    <w:rsid w:val="00C20DDD"/>
    <w:rsid w:val="00C33EA0"/>
    <w:rsid w:val="00C36899"/>
    <w:rsid w:val="00C57959"/>
    <w:rsid w:val="00C64886"/>
    <w:rsid w:val="00C833AB"/>
    <w:rsid w:val="00C86405"/>
    <w:rsid w:val="00CA3221"/>
    <w:rsid w:val="00CB1261"/>
    <w:rsid w:val="00CB6227"/>
    <w:rsid w:val="00CC0769"/>
    <w:rsid w:val="00CD72C4"/>
    <w:rsid w:val="00CE27F3"/>
    <w:rsid w:val="00CE417F"/>
    <w:rsid w:val="00CE61D5"/>
    <w:rsid w:val="00CF0045"/>
    <w:rsid w:val="00D022D1"/>
    <w:rsid w:val="00D2137F"/>
    <w:rsid w:val="00D26099"/>
    <w:rsid w:val="00D337DA"/>
    <w:rsid w:val="00DB45E3"/>
    <w:rsid w:val="00DD661C"/>
    <w:rsid w:val="00DF4D39"/>
    <w:rsid w:val="00E146A0"/>
    <w:rsid w:val="00E319D3"/>
    <w:rsid w:val="00E53529"/>
    <w:rsid w:val="00E5482D"/>
    <w:rsid w:val="00E5690D"/>
    <w:rsid w:val="00EA3554"/>
    <w:rsid w:val="00EB6ACC"/>
    <w:rsid w:val="00EC5EFB"/>
    <w:rsid w:val="00ED376B"/>
    <w:rsid w:val="00EE3AEB"/>
    <w:rsid w:val="00EF6360"/>
    <w:rsid w:val="00F02133"/>
    <w:rsid w:val="00F03BB6"/>
    <w:rsid w:val="00F3216A"/>
    <w:rsid w:val="00F412AC"/>
    <w:rsid w:val="00F4298B"/>
    <w:rsid w:val="00F4629A"/>
    <w:rsid w:val="00F81EA8"/>
    <w:rsid w:val="00F82399"/>
    <w:rsid w:val="00F94CFD"/>
    <w:rsid w:val="00FC525B"/>
    <w:rsid w:val="00FF14D5"/>
    <w:rsid w:val="00FF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36899"/>
    <w:rPr>
      <w:sz w:val="24"/>
      <w:szCs w:val="24"/>
      <w:lang w:val="en-GB" w:eastAsia="de-DE"/>
    </w:rPr>
  </w:style>
  <w:style w:type="paragraph" w:styleId="Heading1">
    <w:name w:val="heading 1"/>
    <w:basedOn w:val="Normal"/>
    <w:next w:val="Normal"/>
    <w:qFormat/>
    <w:rsid w:val="00C36899"/>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WAAuthoraddress">
    <w:name w:val="(IWA) Author address"/>
    <w:basedOn w:val="Normal"/>
    <w:next w:val="IWAKeyword"/>
    <w:rsid w:val="00C3689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C3689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C36899"/>
    <w:rPr>
      <w:rFonts w:ascii="Arial" w:hAnsi="Arial" w:cs="Arial"/>
      <w:sz w:val="18"/>
      <w:szCs w:val="18"/>
      <w:lang w:val="en-GB" w:eastAsia="en-US" w:bidi="ar-SA"/>
    </w:rPr>
  </w:style>
  <w:style w:type="paragraph" w:customStyle="1" w:styleId="IWAAuthornames">
    <w:name w:val="(IWA) Author name(s)"/>
    <w:basedOn w:val="Normal"/>
    <w:next w:val="IWAKeyword"/>
    <w:rsid w:val="00C3689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C3689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C3689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C3689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C36899"/>
    <w:rPr>
      <w:rFonts w:ascii="Arial" w:hAnsi="Arial" w:cs="Arial"/>
      <w:b/>
      <w:bCs/>
      <w:sz w:val="28"/>
      <w:szCs w:val="28"/>
      <w:lang w:eastAsia="en-US"/>
    </w:rPr>
  </w:style>
  <w:style w:type="paragraph" w:customStyle="1" w:styleId="IWAReferences">
    <w:name w:val="(IWA) References"/>
    <w:basedOn w:val="Normal"/>
    <w:rsid w:val="00C3689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C36899"/>
    <w:pPr>
      <w:suppressLineNumbers/>
      <w:tabs>
        <w:tab w:val="left" w:pos="414"/>
      </w:tabs>
      <w:overflowPunct w:val="0"/>
      <w:autoSpaceDE w:val="0"/>
      <w:autoSpaceDN w:val="0"/>
      <w:adjustRightInd w:val="0"/>
      <w:spacing w:before="320" w:after="120" w:line="320" w:lineRule="atLeast"/>
      <w:ind w:left="420" w:hanging="420"/>
      <w:textAlignment w:val="baseline"/>
    </w:pPr>
    <w:rPr>
      <w:kern w:val="28"/>
      <w:sz w:val="24"/>
      <w:szCs w:val="24"/>
      <w:lang w:eastAsia="en-US"/>
    </w:rPr>
  </w:style>
  <w:style w:type="paragraph" w:customStyle="1" w:styleId="IWATableFigureheading">
    <w:name w:val="(IWA) Table/Figure heading"/>
    <w:basedOn w:val="Normal"/>
    <w:link w:val="IWATableFigureheadingZchn"/>
    <w:rsid w:val="00C3689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C36899"/>
    <w:rPr>
      <w:rFonts w:ascii="Arial" w:hAnsi="Arial"/>
      <w:bCs/>
      <w:sz w:val="18"/>
      <w:lang w:val="en-GB" w:eastAsia="en-US" w:bidi="ar-SA"/>
    </w:rPr>
  </w:style>
  <w:style w:type="paragraph" w:styleId="Header">
    <w:name w:val="header"/>
    <w:basedOn w:val="Normal"/>
    <w:link w:val="HeaderChar"/>
    <w:rsid w:val="00C02F76"/>
    <w:pPr>
      <w:tabs>
        <w:tab w:val="center" w:pos="4703"/>
        <w:tab w:val="right" w:pos="9406"/>
      </w:tabs>
    </w:pPr>
  </w:style>
  <w:style w:type="character" w:customStyle="1" w:styleId="HeaderChar">
    <w:name w:val="Header Char"/>
    <w:link w:val="Header"/>
    <w:rsid w:val="00C02F76"/>
    <w:rPr>
      <w:sz w:val="24"/>
      <w:szCs w:val="24"/>
      <w:lang w:val="en-GB" w:eastAsia="de-DE"/>
    </w:rPr>
  </w:style>
  <w:style w:type="paragraph" w:styleId="Footer">
    <w:name w:val="footer"/>
    <w:basedOn w:val="Normal"/>
    <w:link w:val="FooterChar"/>
    <w:rsid w:val="00C02F76"/>
    <w:pPr>
      <w:tabs>
        <w:tab w:val="center" w:pos="4703"/>
        <w:tab w:val="right" w:pos="9406"/>
      </w:tabs>
    </w:pPr>
  </w:style>
  <w:style w:type="character" w:customStyle="1" w:styleId="FooterChar">
    <w:name w:val="Footer Char"/>
    <w:link w:val="Footer"/>
    <w:rsid w:val="00C02F76"/>
    <w:rPr>
      <w:sz w:val="24"/>
      <w:szCs w:val="24"/>
      <w:lang w:val="en-GB" w:eastAsia="de-DE"/>
    </w:rPr>
  </w:style>
  <w:style w:type="table" w:styleId="TableGrid">
    <w:name w:val="Table Grid"/>
    <w:basedOn w:val="TableNormal"/>
    <w:rsid w:val="00767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0">
    <w:name w:val="normal"/>
    <w:basedOn w:val="Normal"/>
    <w:rsid w:val="00725EE4"/>
    <w:pPr>
      <w:spacing w:line="273" w:lineRule="auto"/>
    </w:pPr>
    <w:rPr>
      <w:rFonts w:ascii="Arial" w:eastAsia="Times New Roman" w:hAnsi="Arial" w:cs="Arial"/>
      <w:color w:val="000000"/>
      <w:sz w:val="22"/>
      <w:szCs w:val="22"/>
      <w:lang w:val="en-US" w:eastAsia="en-US"/>
    </w:rPr>
  </w:style>
  <w:style w:type="paragraph" w:styleId="BalloonText">
    <w:name w:val="Balloon Text"/>
    <w:basedOn w:val="Normal"/>
    <w:link w:val="BalloonTextChar"/>
    <w:rsid w:val="001D7BA4"/>
    <w:rPr>
      <w:rFonts w:ascii="Tahoma" w:hAnsi="Tahoma" w:cs="Tahoma"/>
      <w:sz w:val="16"/>
      <w:szCs w:val="16"/>
    </w:rPr>
  </w:style>
  <w:style w:type="character" w:customStyle="1" w:styleId="BalloonTextChar">
    <w:name w:val="Balloon Text Char"/>
    <w:basedOn w:val="DefaultParagraphFont"/>
    <w:link w:val="BalloonText"/>
    <w:rsid w:val="001D7BA4"/>
    <w:rPr>
      <w:rFonts w:ascii="Tahoma" w:hAnsi="Tahoma" w:cs="Tahoma"/>
      <w:sz w:val="16"/>
      <w:szCs w:val="16"/>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36899"/>
    <w:rPr>
      <w:sz w:val="24"/>
      <w:szCs w:val="24"/>
      <w:lang w:val="en-GB" w:eastAsia="de-DE"/>
    </w:rPr>
  </w:style>
  <w:style w:type="paragraph" w:styleId="Heading1">
    <w:name w:val="heading 1"/>
    <w:basedOn w:val="Normal"/>
    <w:next w:val="Normal"/>
    <w:qFormat/>
    <w:rsid w:val="00C36899"/>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WAAuthoraddress">
    <w:name w:val="(IWA) Author address"/>
    <w:basedOn w:val="Normal"/>
    <w:next w:val="IWAKeyword"/>
    <w:rsid w:val="00C3689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C3689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C36899"/>
    <w:rPr>
      <w:rFonts w:ascii="Arial" w:hAnsi="Arial" w:cs="Arial"/>
      <w:sz w:val="18"/>
      <w:szCs w:val="18"/>
      <w:lang w:val="en-GB" w:eastAsia="en-US" w:bidi="ar-SA"/>
    </w:rPr>
  </w:style>
  <w:style w:type="paragraph" w:customStyle="1" w:styleId="IWAAuthornames">
    <w:name w:val="(IWA) Author name(s)"/>
    <w:basedOn w:val="Normal"/>
    <w:next w:val="IWAKeyword"/>
    <w:rsid w:val="00C3689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C3689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C3689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C3689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C36899"/>
    <w:rPr>
      <w:rFonts w:ascii="Arial" w:hAnsi="Arial" w:cs="Arial"/>
      <w:b/>
      <w:bCs/>
      <w:sz w:val="28"/>
      <w:szCs w:val="28"/>
      <w:lang w:eastAsia="en-US"/>
    </w:rPr>
  </w:style>
  <w:style w:type="paragraph" w:customStyle="1" w:styleId="IWAReferences">
    <w:name w:val="(IWA) References"/>
    <w:basedOn w:val="Normal"/>
    <w:rsid w:val="00C3689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C36899"/>
    <w:pPr>
      <w:suppressLineNumbers/>
      <w:tabs>
        <w:tab w:val="left" w:pos="414"/>
      </w:tabs>
      <w:overflowPunct w:val="0"/>
      <w:autoSpaceDE w:val="0"/>
      <w:autoSpaceDN w:val="0"/>
      <w:adjustRightInd w:val="0"/>
      <w:spacing w:before="320" w:after="120" w:line="320" w:lineRule="atLeast"/>
      <w:ind w:left="420" w:hanging="420"/>
      <w:textAlignment w:val="baseline"/>
    </w:pPr>
    <w:rPr>
      <w:kern w:val="28"/>
      <w:sz w:val="24"/>
      <w:szCs w:val="24"/>
      <w:lang w:eastAsia="en-US"/>
    </w:rPr>
  </w:style>
  <w:style w:type="paragraph" w:customStyle="1" w:styleId="IWATableFigureheading">
    <w:name w:val="(IWA) Table/Figure heading"/>
    <w:basedOn w:val="Normal"/>
    <w:link w:val="IWATableFigureheadingZchn"/>
    <w:rsid w:val="00C3689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C36899"/>
    <w:rPr>
      <w:rFonts w:ascii="Arial" w:hAnsi="Arial"/>
      <w:bCs/>
      <w:sz w:val="18"/>
      <w:lang w:val="en-GB" w:eastAsia="en-US" w:bidi="ar-SA"/>
    </w:rPr>
  </w:style>
  <w:style w:type="paragraph" w:styleId="Header">
    <w:name w:val="header"/>
    <w:basedOn w:val="Normal"/>
    <w:link w:val="HeaderChar"/>
    <w:rsid w:val="00C02F76"/>
    <w:pPr>
      <w:tabs>
        <w:tab w:val="center" w:pos="4703"/>
        <w:tab w:val="right" w:pos="9406"/>
      </w:tabs>
    </w:pPr>
  </w:style>
  <w:style w:type="character" w:customStyle="1" w:styleId="HeaderChar">
    <w:name w:val="Header Char"/>
    <w:link w:val="Header"/>
    <w:rsid w:val="00C02F76"/>
    <w:rPr>
      <w:sz w:val="24"/>
      <w:szCs w:val="24"/>
      <w:lang w:val="en-GB" w:eastAsia="de-DE"/>
    </w:rPr>
  </w:style>
  <w:style w:type="paragraph" w:styleId="Footer">
    <w:name w:val="footer"/>
    <w:basedOn w:val="Normal"/>
    <w:link w:val="FooterChar"/>
    <w:rsid w:val="00C02F76"/>
    <w:pPr>
      <w:tabs>
        <w:tab w:val="center" w:pos="4703"/>
        <w:tab w:val="right" w:pos="9406"/>
      </w:tabs>
    </w:pPr>
  </w:style>
  <w:style w:type="character" w:customStyle="1" w:styleId="FooterChar">
    <w:name w:val="Footer Char"/>
    <w:link w:val="Footer"/>
    <w:rsid w:val="00C02F76"/>
    <w:rPr>
      <w:sz w:val="24"/>
      <w:szCs w:val="24"/>
      <w:lang w:val="en-GB" w:eastAsia="de-DE"/>
    </w:rPr>
  </w:style>
  <w:style w:type="table" w:styleId="TableGrid">
    <w:name w:val="Table Grid"/>
    <w:basedOn w:val="TableNormal"/>
    <w:rsid w:val="00767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0">
    <w:name w:val="normal"/>
    <w:basedOn w:val="Normal"/>
    <w:rsid w:val="00725EE4"/>
    <w:pPr>
      <w:spacing w:line="273" w:lineRule="auto"/>
    </w:pPr>
    <w:rPr>
      <w:rFonts w:ascii="Arial" w:eastAsia="Times New Roman" w:hAnsi="Arial" w:cs="Arial"/>
      <w:color w:val="000000"/>
      <w:sz w:val="22"/>
      <w:szCs w:val="22"/>
      <w:lang w:val="en-US" w:eastAsia="en-US"/>
    </w:rPr>
  </w:style>
  <w:style w:type="paragraph" w:styleId="BalloonText">
    <w:name w:val="Balloon Text"/>
    <w:basedOn w:val="Normal"/>
    <w:link w:val="BalloonTextChar"/>
    <w:rsid w:val="001D7BA4"/>
    <w:rPr>
      <w:rFonts w:ascii="Tahoma" w:hAnsi="Tahoma" w:cs="Tahoma"/>
      <w:sz w:val="16"/>
      <w:szCs w:val="16"/>
    </w:rPr>
  </w:style>
  <w:style w:type="character" w:customStyle="1" w:styleId="BalloonTextChar">
    <w:name w:val="Balloon Text Char"/>
    <w:basedOn w:val="DefaultParagraphFont"/>
    <w:link w:val="BalloonText"/>
    <w:rsid w:val="001D7BA4"/>
    <w:rPr>
      <w:rFonts w:ascii="Tahoma" w:hAnsi="Tahoma" w:cs="Tahoma"/>
      <w:sz w:val="16"/>
      <w:szCs w:val="1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93224">
      <w:bodyDiv w:val="1"/>
      <w:marLeft w:val="0"/>
      <w:marRight w:val="0"/>
      <w:marTop w:val="0"/>
      <w:marBottom w:val="0"/>
      <w:divBdr>
        <w:top w:val="none" w:sz="0" w:space="0" w:color="auto"/>
        <w:left w:val="none" w:sz="0" w:space="0" w:color="auto"/>
        <w:bottom w:val="none" w:sz="0" w:space="0" w:color="auto"/>
        <w:right w:val="none" w:sz="0" w:space="0" w:color="auto"/>
      </w:divBdr>
    </w:div>
    <w:div w:id="1337346329">
      <w:bodyDiv w:val="1"/>
      <w:marLeft w:val="0"/>
      <w:marRight w:val="0"/>
      <w:marTop w:val="0"/>
      <w:marBottom w:val="0"/>
      <w:divBdr>
        <w:top w:val="none" w:sz="0" w:space="0" w:color="auto"/>
        <w:left w:val="none" w:sz="0" w:space="0" w:color="auto"/>
        <w:bottom w:val="none" w:sz="0" w:space="0" w:color="auto"/>
        <w:right w:val="none" w:sz="0" w:space="0" w:color="auto"/>
      </w:divBdr>
    </w:div>
    <w:div w:id="1685086366">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Janela:Desktop:Thesis%20Data%20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anela:Desktop:Thesis%20Data%20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anela:Desktop:Thesis%20Data%20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anela:Desktop:Thesis%20Data%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'Comparison of Efficiency'!$A$20</c:f>
              <c:strCache>
                <c:ptCount val="1"/>
                <c:pt idx="0">
                  <c:v>Distilled Water</c:v>
                </c:pt>
              </c:strCache>
            </c:strRef>
          </c:tx>
          <c:invertIfNegative val="0"/>
          <c:cat>
            <c:numRef>
              <c:f>'Comparison of Efficiency'!$B$19:$E$19</c:f>
              <c:numCache>
                <c:formatCode>General</c:formatCode>
                <c:ptCount val="4"/>
                <c:pt idx="0">
                  <c:v>0</c:v>
                </c:pt>
                <c:pt idx="1">
                  <c:v>5</c:v>
                </c:pt>
                <c:pt idx="2">
                  <c:v>10</c:v>
                </c:pt>
                <c:pt idx="3">
                  <c:v>15</c:v>
                </c:pt>
              </c:numCache>
            </c:numRef>
          </c:cat>
          <c:val>
            <c:numRef>
              <c:f>'Comparison of Efficiency'!$B$20:$E$20</c:f>
              <c:numCache>
                <c:formatCode>0%</c:formatCode>
                <c:ptCount val="4"/>
                <c:pt idx="0">
                  <c:v>0.51351351351351404</c:v>
                </c:pt>
                <c:pt idx="1">
                  <c:v>0.81081081081081097</c:v>
                </c:pt>
                <c:pt idx="2">
                  <c:v>0.86486486486486502</c:v>
                </c:pt>
                <c:pt idx="3">
                  <c:v>0.90540540540540504</c:v>
                </c:pt>
              </c:numCache>
            </c:numRef>
          </c:val>
        </c:ser>
        <c:ser>
          <c:idx val="1"/>
          <c:order val="1"/>
          <c:tx>
            <c:strRef>
              <c:f>'Comparison of Efficiency'!$A$21</c:f>
              <c:strCache>
                <c:ptCount val="1"/>
                <c:pt idx="0">
                  <c:v>Sodium Chloride</c:v>
                </c:pt>
              </c:strCache>
            </c:strRef>
          </c:tx>
          <c:invertIfNegative val="0"/>
          <c:cat>
            <c:numRef>
              <c:f>'Comparison of Efficiency'!$B$19:$E$19</c:f>
              <c:numCache>
                <c:formatCode>General</c:formatCode>
                <c:ptCount val="4"/>
                <c:pt idx="0">
                  <c:v>0</c:v>
                </c:pt>
                <c:pt idx="1">
                  <c:v>5</c:v>
                </c:pt>
                <c:pt idx="2">
                  <c:v>10</c:v>
                </c:pt>
                <c:pt idx="3">
                  <c:v>15</c:v>
                </c:pt>
              </c:numCache>
            </c:numRef>
          </c:cat>
          <c:val>
            <c:numRef>
              <c:f>'Comparison of Efficiency'!$B$21:$E$21</c:f>
              <c:numCache>
                <c:formatCode>0%</c:formatCode>
                <c:ptCount val="4"/>
                <c:pt idx="0">
                  <c:v>0.57273678702250097</c:v>
                </c:pt>
                <c:pt idx="1">
                  <c:v>0.82862375719518599</c:v>
                </c:pt>
                <c:pt idx="2">
                  <c:v>0.47540554683411801</c:v>
                </c:pt>
                <c:pt idx="3">
                  <c:v>0.230769230769231</c:v>
                </c:pt>
              </c:numCache>
            </c:numRef>
          </c:val>
        </c:ser>
        <c:ser>
          <c:idx val="2"/>
          <c:order val="2"/>
          <c:tx>
            <c:strRef>
              <c:f>'Comparison of Efficiency'!$A$22</c:f>
              <c:strCache>
                <c:ptCount val="1"/>
                <c:pt idx="0">
                  <c:v>Sodium Hydroxide</c:v>
                </c:pt>
              </c:strCache>
            </c:strRef>
          </c:tx>
          <c:invertIfNegative val="0"/>
          <c:cat>
            <c:numRef>
              <c:f>'Comparison of Efficiency'!$B$19:$E$19</c:f>
              <c:numCache>
                <c:formatCode>General</c:formatCode>
                <c:ptCount val="4"/>
                <c:pt idx="0">
                  <c:v>0</c:v>
                </c:pt>
                <c:pt idx="1">
                  <c:v>5</c:v>
                </c:pt>
                <c:pt idx="2">
                  <c:v>10</c:v>
                </c:pt>
                <c:pt idx="3">
                  <c:v>15</c:v>
                </c:pt>
              </c:numCache>
            </c:numRef>
          </c:cat>
          <c:val>
            <c:numRef>
              <c:f>'Comparison of Efficiency'!$B$22:$E$22</c:f>
              <c:numCache>
                <c:formatCode>0%</c:formatCode>
                <c:ptCount val="4"/>
                <c:pt idx="0">
                  <c:v>7.80487804428317E-2</c:v>
                </c:pt>
                <c:pt idx="1">
                  <c:v>0.72926829266972004</c:v>
                </c:pt>
                <c:pt idx="2">
                  <c:v>0.78780487803842902</c:v>
                </c:pt>
                <c:pt idx="3">
                  <c:v>0.76585365852516396</c:v>
                </c:pt>
              </c:numCache>
            </c:numRef>
          </c:val>
        </c:ser>
        <c:dLbls>
          <c:showLegendKey val="0"/>
          <c:showVal val="1"/>
          <c:showCatName val="0"/>
          <c:showSerName val="0"/>
          <c:showPercent val="0"/>
          <c:showBubbleSize val="0"/>
        </c:dLbls>
        <c:gapWidth val="150"/>
        <c:overlap val="-25"/>
        <c:axId val="164865920"/>
        <c:axId val="164867456"/>
      </c:barChart>
      <c:catAx>
        <c:axId val="164865920"/>
        <c:scaling>
          <c:orientation val="minMax"/>
        </c:scaling>
        <c:delete val="0"/>
        <c:axPos val="b"/>
        <c:numFmt formatCode="General" sourceLinked="1"/>
        <c:majorTickMark val="none"/>
        <c:minorTickMark val="none"/>
        <c:tickLblPos val="nextTo"/>
        <c:crossAx val="164867456"/>
        <c:crosses val="autoZero"/>
        <c:auto val="1"/>
        <c:lblAlgn val="ctr"/>
        <c:lblOffset val="100"/>
        <c:noMultiLvlLbl val="0"/>
      </c:catAx>
      <c:valAx>
        <c:axId val="164867456"/>
        <c:scaling>
          <c:orientation val="minMax"/>
        </c:scaling>
        <c:delete val="1"/>
        <c:axPos val="l"/>
        <c:numFmt formatCode="0%" sourceLinked="1"/>
        <c:majorTickMark val="none"/>
        <c:minorTickMark val="none"/>
        <c:tickLblPos val="nextTo"/>
        <c:crossAx val="164865920"/>
        <c:crosses val="autoZero"/>
        <c:crossBetween val="between"/>
      </c:valAx>
    </c:plotArea>
    <c:legend>
      <c:legendPos val="t"/>
      <c:layout>
        <c:manualLayout>
          <c:xMode val="edge"/>
          <c:yMode val="edge"/>
          <c:x val="5.546978420539693E-2"/>
          <c:y val="3.5566285346407163E-2"/>
          <c:w val="0.88906007886261196"/>
          <c:h val="0.18036151141484674"/>
        </c:manualLayout>
      </c:layout>
      <c:overlay val="0"/>
    </c:legend>
    <c:plotVisOnly val="1"/>
    <c:dispBlanksAs val="gap"/>
    <c:showDLblsOverMax val="0"/>
  </c:chart>
  <c:txPr>
    <a:bodyPr/>
    <a:lstStyle/>
    <a:p>
      <a:pPr>
        <a:defRPr sz="700">
          <a:latin typeface="Times New Roman"/>
          <a:cs typeface="Times New Roman"/>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'Comparison of Efficiency'!$S$15</c:f>
              <c:strCache>
                <c:ptCount val="1"/>
                <c:pt idx="0">
                  <c:v>Distilled Water</c:v>
                </c:pt>
              </c:strCache>
            </c:strRef>
          </c:tx>
          <c:invertIfNegative val="0"/>
          <c:cat>
            <c:numRef>
              <c:f>'Comparison of Efficiency'!$T$14:$W$14</c:f>
              <c:numCache>
                <c:formatCode>General</c:formatCode>
                <c:ptCount val="4"/>
                <c:pt idx="0">
                  <c:v>0</c:v>
                </c:pt>
                <c:pt idx="1">
                  <c:v>5</c:v>
                </c:pt>
                <c:pt idx="2">
                  <c:v>10</c:v>
                </c:pt>
                <c:pt idx="3">
                  <c:v>15</c:v>
                </c:pt>
              </c:numCache>
            </c:numRef>
          </c:cat>
          <c:val>
            <c:numRef>
              <c:f>'Comparison of Efficiency'!$T$15:$W$15</c:f>
              <c:numCache>
                <c:formatCode>0%</c:formatCode>
                <c:ptCount val="4"/>
                <c:pt idx="0">
                  <c:v>0.17360736494759901</c:v>
                </c:pt>
                <c:pt idx="1">
                  <c:v>6.3230481413359602E-2</c:v>
                </c:pt>
                <c:pt idx="2">
                  <c:v>5.94095010828182E-2</c:v>
                </c:pt>
                <c:pt idx="3">
                  <c:v>0.11072751453821</c:v>
                </c:pt>
              </c:numCache>
            </c:numRef>
          </c:val>
        </c:ser>
        <c:ser>
          <c:idx val="1"/>
          <c:order val="1"/>
          <c:tx>
            <c:strRef>
              <c:f>'Comparison of Efficiency'!$S$16</c:f>
              <c:strCache>
                <c:ptCount val="1"/>
                <c:pt idx="0">
                  <c:v>Sodium Chloride</c:v>
                </c:pt>
              </c:strCache>
            </c:strRef>
          </c:tx>
          <c:invertIfNegative val="0"/>
          <c:cat>
            <c:numRef>
              <c:f>'Comparison of Efficiency'!$T$14:$W$14</c:f>
              <c:numCache>
                <c:formatCode>General</c:formatCode>
                <c:ptCount val="4"/>
                <c:pt idx="0">
                  <c:v>0</c:v>
                </c:pt>
                <c:pt idx="1">
                  <c:v>5</c:v>
                </c:pt>
                <c:pt idx="2">
                  <c:v>10</c:v>
                </c:pt>
                <c:pt idx="3">
                  <c:v>15</c:v>
                </c:pt>
              </c:numCache>
            </c:numRef>
          </c:cat>
          <c:val>
            <c:numRef>
              <c:f>'Comparison of Efficiency'!$T$16:$W$16</c:f>
              <c:numCache>
                <c:formatCode>0%</c:formatCode>
                <c:ptCount val="4"/>
                <c:pt idx="0">
                  <c:v>0.46545487756635301</c:v>
                </c:pt>
                <c:pt idx="1">
                  <c:v>0.82071611252010601</c:v>
                </c:pt>
                <c:pt idx="2">
                  <c:v>0.93020947509057195</c:v>
                </c:pt>
                <c:pt idx="3">
                  <c:v>0.93020947509057195</c:v>
                </c:pt>
              </c:numCache>
            </c:numRef>
          </c:val>
        </c:ser>
        <c:ser>
          <c:idx val="2"/>
          <c:order val="2"/>
          <c:tx>
            <c:strRef>
              <c:f>'Comparison of Efficiency'!$S$17</c:f>
              <c:strCache>
                <c:ptCount val="1"/>
                <c:pt idx="0">
                  <c:v>Sodium Hydroxide</c:v>
                </c:pt>
              </c:strCache>
            </c:strRef>
          </c:tx>
          <c:invertIfNegative val="0"/>
          <c:cat>
            <c:numRef>
              <c:f>'Comparison of Efficiency'!$T$14:$W$14</c:f>
              <c:numCache>
                <c:formatCode>General</c:formatCode>
                <c:ptCount val="4"/>
                <c:pt idx="0">
                  <c:v>0</c:v>
                </c:pt>
                <c:pt idx="1">
                  <c:v>5</c:v>
                </c:pt>
                <c:pt idx="2">
                  <c:v>10</c:v>
                </c:pt>
                <c:pt idx="3">
                  <c:v>15</c:v>
                </c:pt>
              </c:numCache>
            </c:numRef>
          </c:cat>
          <c:val>
            <c:numRef>
              <c:f>'Comparison of Efficiency'!$T$17:$W$17</c:f>
              <c:numCache>
                <c:formatCode>0%</c:formatCode>
                <c:ptCount val="4"/>
                <c:pt idx="0">
                  <c:v>0.18939071244877201</c:v>
                </c:pt>
                <c:pt idx="1">
                  <c:v>0.53030772435080498</c:v>
                </c:pt>
                <c:pt idx="2">
                  <c:v>0.56933213176047803</c:v>
                </c:pt>
                <c:pt idx="3">
                  <c:v>0.51828884055334901</c:v>
                </c:pt>
              </c:numCache>
            </c:numRef>
          </c:val>
        </c:ser>
        <c:dLbls>
          <c:showLegendKey val="0"/>
          <c:showVal val="1"/>
          <c:showCatName val="0"/>
          <c:showSerName val="0"/>
          <c:showPercent val="0"/>
          <c:showBubbleSize val="0"/>
        </c:dLbls>
        <c:gapWidth val="150"/>
        <c:overlap val="-25"/>
        <c:axId val="164899456"/>
        <c:axId val="164901248"/>
      </c:barChart>
      <c:catAx>
        <c:axId val="164899456"/>
        <c:scaling>
          <c:orientation val="minMax"/>
        </c:scaling>
        <c:delete val="0"/>
        <c:axPos val="b"/>
        <c:numFmt formatCode="General" sourceLinked="1"/>
        <c:majorTickMark val="none"/>
        <c:minorTickMark val="none"/>
        <c:tickLblPos val="nextTo"/>
        <c:crossAx val="164901248"/>
        <c:crosses val="autoZero"/>
        <c:auto val="1"/>
        <c:lblAlgn val="ctr"/>
        <c:lblOffset val="100"/>
        <c:noMultiLvlLbl val="0"/>
      </c:catAx>
      <c:valAx>
        <c:axId val="164901248"/>
        <c:scaling>
          <c:orientation val="minMax"/>
        </c:scaling>
        <c:delete val="1"/>
        <c:axPos val="l"/>
        <c:numFmt formatCode="0%" sourceLinked="1"/>
        <c:majorTickMark val="none"/>
        <c:minorTickMark val="none"/>
        <c:tickLblPos val="nextTo"/>
        <c:crossAx val="164899456"/>
        <c:crosses val="autoZero"/>
        <c:crossBetween val="between"/>
      </c:valAx>
    </c:plotArea>
    <c:legend>
      <c:legendPos val="t"/>
      <c:overlay val="0"/>
    </c:legend>
    <c:plotVisOnly val="1"/>
    <c:dispBlanksAs val="gap"/>
    <c:showDLblsOverMax val="0"/>
  </c:chart>
  <c:txPr>
    <a:bodyPr/>
    <a:lstStyle/>
    <a:p>
      <a:pPr>
        <a:defRPr sz="700">
          <a:latin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M. oleifera in Distilled Water</c:v>
          </c:tx>
          <c:invertIfNegative val="0"/>
          <c:cat>
            <c:numRef>
              <c:f>Summary!$F$5:$F$7</c:f>
              <c:numCache>
                <c:formatCode>General</c:formatCode>
                <c:ptCount val="3"/>
                <c:pt idx="0">
                  <c:v>5</c:v>
                </c:pt>
                <c:pt idx="1">
                  <c:v>10</c:v>
                </c:pt>
                <c:pt idx="2">
                  <c:v>15</c:v>
                </c:pt>
              </c:numCache>
            </c:numRef>
          </c:cat>
          <c:val>
            <c:numRef>
              <c:f>Summary!$G$5:$G$7</c:f>
              <c:numCache>
                <c:formatCode>0%</c:formatCode>
                <c:ptCount val="3"/>
                <c:pt idx="0">
                  <c:v>0.83783783783783805</c:v>
                </c:pt>
                <c:pt idx="1">
                  <c:v>0.86486486486486502</c:v>
                </c:pt>
                <c:pt idx="2">
                  <c:v>0.91891891891891897</c:v>
                </c:pt>
              </c:numCache>
            </c:numRef>
          </c:val>
        </c:ser>
        <c:ser>
          <c:idx val="1"/>
          <c:order val="1"/>
          <c:tx>
            <c:v>M. oleifera in NaCl</c:v>
          </c:tx>
          <c:invertIfNegative val="0"/>
          <c:cat>
            <c:numRef>
              <c:f>Summary!$F$5:$F$7</c:f>
              <c:numCache>
                <c:formatCode>General</c:formatCode>
                <c:ptCount val="3"/>
                <c:pt idx="0">
                  <c:v>5</c:v>
                </c:pt>
                <c:pt idx="1">
                  <c:v>10</c:v>
                </c:pt>
                <c:pt idx="2">
                  <c:v>15</c:v>
                </c:pt>
              </c:numCache>
            </c:numRef>
          </c:cat>
          <c:val>
            <c:numRef>
              <c:f>Summary!$H$5:$H$7</c:f>
              <c:numCache>
                <c:formatCode>0%</c:formatCode>
                <c:ptCount val="3"/>
                <c:pt idx="0">
                  <c:v>0.83673469387755095</c:v>
                </c:pt>
                <c:pt idx="1">
                  <c:v>0.59183673469387799</c:v>
                </c:pt>
                <c:pt idx="2">
                  <c:v>0.230769230769231</c:v>
                </c:pt>
              </c:numCache>
            </c:numRef>
          </c:val>
        </c:ser>
        <c:ser>
          <c:idx val="2"/>
          <c:order val="2"/>
          <c:tx>
            <c:v>M. oleifera in NaOH</c:v>
          </c:tx>
          <c:invertIfNegative val="0"/>
          <c:cat>
            <c:numRef>
              <c:f>Summary!$F$5:$F$7</c:f>
              <c:numCache>
                <c:formatCode>General</c:formatCode>
                <c:ptCount val="3"/>
                <c:pt idx="0">
                  <c:v>5</c:v>
                </c:pt>
                <c:pt idx="1">
                  <c:v>10</c:v>
                </c:pt>
                <c:pt idx="2">
                  <c:v>15</c:v>
                </c:pt>
              </c:numCache>
            </c:numRef>
          </c:cat>
          <c:val>
            <c:numRef>
              <c:f>Summary!$I$5:$I$7</c:f>
              <c:numCache>
                <c:formatCode>0%</c:formatCode>
                <c:ptCount val="3"/>
                <c:pt idx="0">
                  <c:v>0.76585365852516396</c:v>
                </c:pt>
                <c:pt idx="1">
                  <c:v>0.82439024389387305</c:v>
                </c:pt>
                <c:pt idx="2">
                  <c:v>0.80975609755169498</c:v>
                </c:pt>
              </c:numCache>
            </c:numRef>
          </c:val>
        </c:ser>
        <c:ser>
          <c:idx val="3"/>
          <c:order val="3"/>
          <c:tx>
            <c:v>Aluminum Sulfate</c:v>
          </c:tx>
          <c:invertIfNegative val="0"/>
          <c:cat>
            <c:numRef>
              <c:f>Summary!$F$5:$F$7</c:f>
              <c:numCache>
                <c:formatCode>General</c:formatCode>
                <c:ptCount val="3"/>
                <c:pt idx="0">
                  <c:v>5</c:v>
                </c:pt>
                <c:pt idx="1">
                  <c:v>10</c:v>
                </c:pt>
                <c:pt idx="2">
                  <c:v>15</c:v>
                </c:pt>
              </c:numCache>
            </c:numRef>
          </c:cat>
          <c:val>
            <c:numRef>
              <c:f>Summary!$J$5:$J$7</c:f>
              <c:numCache>
                <c:formatCode>0%</c:formatCode>
                <c:ptCount val="3"/>
                <c:pt idx="0">
                  <c:v>1</c:v>
                </c:pt>
                <c:pt idx="1">
                  <c:v>1</c:v>
                </c:pt>
                <c:pt idx="2">
                  <c:v>1</c:v>
                </c:pt>
              </c:numCache>
            </c:numRef>
          </c:val>
        </c:ser>
        <c:dLbls>
          <c:showLegendKey val="0"/>
          <c:showVal val="1"/>
          <c:showCatName val="0"/>
          <c:showSerName val="0"/>
          <c:showPercent val="0"/>
          <c:showBubbleSize val="0"/>
        </c:dLbls>
        <c:gapWidth val="150"/>
        <c:overlap val="-25"/>
        <c:axId val="166785408"/>
        <c:axId val="166786944"/>
      </c:barChart>
      <c:catAx>
        <c:axId val="166785408"/>
        <c:scaling>
          <c:orientation val="minMax"/>
        </c:scaling>
        <c:delete val="0"/>
        <c:axPos val="b"/>
        <c:numFmt formatCode="General" sourceLinked="1"/>
        <c:majorTickMark val="none"/>
        <c:minorTickMark val="none"/>
        <c:tickLblPos val="nextTo"/>
        <c:crossAx val="166786944"/>
        <c:crosses val="autoZero"/>
        <c:auto val="1"/>
        <c:lblAlgn val="ctr"/>
        <c:lblOffset val="100"/>
        <c:noMultiLvlLbl val="0"/>
      </c:catAx>
      <c:valAx>
        <c:axId val="166786944"/>
        <c:scaling>
          <c:orientation val="minMax"/>
        </c:scaling>
        <c:delete val="1"/>
        <c:axPos val="l"/>
        <c:numFmt formatCode="0%" sourceLinked="1"/>
        <c:majorTickMark val="none"/>
        <c:minorTickMark val="none"/>
        <c:tickLblPos val="nextTo"/>
        <c:crossAx val="166785408"/>
        <c:crosses val="autoZero"/>
        <c:crossBetween val="between"/>
      </c:valAx>
    </c:plotArea>
    <c:legend>
      <c:legendPos val="t"/>
      <c:overlay val="0"/>
    </c:legend>
    <c:plotVisOnly val="1"/>
    <c:dispBlanksAs val="gap"/>
    <c:showDLblsOverMax val="0"/>
  </c:chart>
  <c:txPr>
    <a:bodyPr/>
    <a:lstStyle/>
    <a:p>
      <a:pPr>
        <a:defRPr sz="700">
          <a:latin typeface="Times New Roman"/>
          <a:cs typeface="Times New Roma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Summary!$G$12</c:f>
              <c:strCache>
                <c:ptCount val="1"/>
                <c:pt idx="0">
                  <c:v>M. oleifera in Distilled Water</c:v>
                </c:pt>
              </c:strCache>
            </c:strRef>
          </c:tx>
          <c:invertIfNegative val="0"/>
          <c:cat>
            <c:numRef>
              <c:f>Summary!$F$14:$F$16</c:f>
              <c:numCache>
                <c:formatCode>General</c:formatCode>
                <c:ptCount val="3"/>
                <c:pt idx="0">
                  <c:v>5</c:v>
                </c:pt>
                <c:pt idx="1">
                  <c:v>10</c:v>
                </c:pt>
                <c:pt idx="2">
                  <c:v>15</c:v>
                </c:pt>
              </c:numCache>
            </c:numRef>
          </c:cat>
          <c:val>
            <c:numRef>
              <c:f>Summary!$G$14:$G$16</c:f>
              <c:numCache>
                <c:formatCode>0%</c:formatCode>
                <c:ptCount val="3"/>
                <c:pt idx="0">
                  <c:v>9.4202898550724598E-2</c:v>
                </c:pt>
                <c:pt idx="1">
                  <c:v>0.101449275362319</c:v>
                </c:pt>
                <c:pt idx="2">
                  <c:v>0.15942028985507201</c:v>
                </c:pt>
              </c:numCache>
            </c:numRef>
          </c:val>
        </c:ser>
        <c:ser>
          <c:idx val="1"/>
          <c:order val="1"/>
          <c:tx>
            <c:strRef>
              <c:f>Summary!$H$12</c:f>
              <c:strCache>
                <c:ptCount val="1"/>
                <c:pt idx="0">
                  <c:v>M. oleifera in NaCl</c:v>
                </c:pt>
              </c:strCache>
            </c:strRef>
          </c:tx>
          <c:invertIfNegative val="0"/>
          <c:cat>
            <c:numRef>
              <c:f>Summary!$F$14:$F$16</c:f>
              <c:numCache>
                <c:formatCode>General</c:formatCode>
                <c:ptCount val="3"/>
                <c:pt idx="0">
                  <c:v>5</c:v>
                </c:pt>
                <c:pt idx="1">
                  <c:v>10</c:v>
                </c:pt>
                <c:pt idx="2">
                  <c:v>15</c:v>
                </c:pt>
              </c:numCache>
            </c:numRef>
          </c:cat>
          <c:val>
            <c:numRef>
              <c:f>Summary!$H$14:$H$16</c:f>
              <c:numCache>
                <c:formatCode>0%</c:formatCode>
                <c:ptCount val="3"/>
                <c:pt idx="0">
                  <c:v>0.85882352938803697</c:v>
                </c:pt>
                <c:pt idx="1">
                  <c:v>0.95462184873186895</c:v>
                </c:pt>
                <c:pt idx="2">
                  <c:v>0.95462184873186895</c:v>
                </c:pt>
              </c:numCache>
            </c:numRef>
          </c:val>
        </c:ser>
        <c:ser>
          <c:idx val="2"/>
          <c:order val="2"/>
          <c:tx>
            <c:strRef>
              <c:f>Summary!$I$12</c:f>
              <c:strCache>
                <c:ptCount val="1"/>
                <c:pt idx="0">
                  <c:v>M. oleifera in NaOH</c:v>
                </c:pt>
              </c:strCache>
            </c:strRef>
          </c:tx>
          <c:invertIfNegative val="0"/>
          <c:cat>
            <c:numRef>
              <c:f>Summary!$F$14:$F$16</c:f>
              <c:numCache>
                <c:formatCode>General</c:formatCode>
                <c:ptCount val="3"/>
                <c:pt idx="0">
                  <c:v>5</c:v>
                </c:pt>
                <c:pt idx="1">
                  <c:v>10</c:v>
                </c:pt>
                <c:pt idx="2">
                  <c:v>15</c:v>
                </c:pt>
              </c:numCache>
            </c:numRef>
          </c:cat>
          <c:val>
            <c:numRef>
              <c:f>Summary!$I$14:$I$16</c:f>
              <c:numCache>
                <c:formatCode>0%</c:formatCode>
                <c:ptCount val="3"/>
                <c:pt idx="0">
                  <c:v>0.55597722968577301</c:v>
                </c:pt>
                <c:pt idx="1">
                  <c:v>0.57699443421577101</c:v>
                </c:pt>
                <c:pt idx="2">
                  <c:v>0.56029684609270902</c:v>
                </c:pt>
              </c:numCache>
            </c:numRef>
          </c:val>
        </c:ser>
        <c:ser>
          <c:idx val="3"/>
          <c:order val="3"/>
          <c:tx>
            <c:strRef>
              <c:f>Summary!$J$12</c:f>
              <c:strCache>
                <c:ptCount val="1"/>
                <c:pt idx="0">
                  <c:v>Aluminum Sulfate</c:v>
                </c:pt>
              </c:strCache>
            </c:strRef>
          </c:tx>
          <c:invertIfNegative val="0"/>
          <c:cat>
            <c:numRef>
              <c:f>Summary!$F$14:$F$16</c:f>
              <c:numCache>
                <c:formatCode>General</c:formatCode>
                <c:ptCount val="3"/>
                <c:pt idx="0">
                  <c:v>5</c:v>
                </c:pt>
                <c:pt idx="1">
                  <c:v>10</c:v>
                </c:pt>
                <c:pt idx="2">
                  <c:v>15</c:v>
                </c:pt>
              </c:numCache>
            </c:numRef>
          </c:cat>
          <c:val>
            <c:numRef>
              <c:f>Summary!$J$14:$J$16</c:f>
              <c:numCache>
                <c:formatCode>0%</c:formatCode>
                <c:ptCount val="3"/>
                <c:pt idx="0">
                  <c:v>0.87425149700598803</c:v>
                </c:pt>
                <c:pt idx="1">
                  <c:v>0.97005988023952106</c:v>
                </c:pt>
                <c:pt idx="2">
                  <c:v>0.97705544932639699</c:v>
                </c:pt>
              </c:numCache>
            </c:numRef>
          </c:val>
        </c:ser>
        <c:dLbls>
          <c:showLegendKey val="0"/>
          <c:showVal val="1"/>
          <c:showCatName val="0"/>
          <c:showSerName val="0"/>
          <c:showPercent val="0"/>
          <c:showBubbleSize val="0"/>
        </c:dLbls>
        <c:gapWidth val="150"/>
        <c:overlap val="-25"/>
        <c:axId val="222644096"/>
        <c:axId val="222645632"/>
      </c:barChart>
      <c:catAx>
        <c:axId val="222644096"/>
        <c:scaling>
          <c:orientation val="minMax"/>
        </c:scaling>
        <c:delete val="0"/>
        <c:axPos val="b"/>
        <c:numFmt formatCode="General" sourceLinked="1"/>
        <c:majorTickMark val="none"/>
        <c:minorTickMark val="none"/>
        <c:tickLblPos val="nextTo"/>
        <c:crossAx val="222645632"/>
        <c:crosses val="autoZero"/>
        <c:auto val="1"/>
        <c:lblAlgn val="ctr"/>
        <c:lblOffset val="100"/>
        <c:noMultiLvlLbl val="0"/>
      </c:catAx>
      <c:valAx>
        <c:axId val="222645632"/>
        <c:scaling>
          <c:orientation val="minMax"/>
        </c:scaling>
        <c:delete val="1"/>
        <c:axPos val="l"/>
        <c:numFmt formatCode="0%" sourceLinked="1"/>
        <c:majorTickMark val="none"/>
        <c:minorTickMark val="none"/>
        <c:tickLblPos val="nextTo"/>
        <c:crossAx val="222644096"/>
        <c:crosses val="autoZero"/>
        <c:crossBetween val="between"/>
      </c:valAx>
    </c:plotArea>
    <c:legend>
      <c:legendPos val="t"/>
      <c:overlay val="0"/>
    </c:legend>
    <c:plotVisOnly val="1"/>
    <c:dispBlanksAs val="gap"/>
    <c:showDLblsOverMax val="0"/>
  </c:chart>
  <c:txPr>
    <a:bodyPr/>
    <a:lstStyle/>
    <a:p>
      <a:pPr>
        <a:defRPr sz="700">
          <a:latin typeface="Times New Roman"/>
          <a:cs typeface="Times New Roman"/>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0.32509</cdr:x>
      <cdr:y>0.91729</cdr:y>
    </cdr:from>
    <cdr:to>
      <cdr:x>0.75021</cdr:x>
      <cdr:y>1</cdr:y>
    </cdr:to>
    <cdr:sp macro="" textlink="">
      <cdr:nvSpPr>
        <cdr:cNvPr id="2" name="Text Box 1"/>
        <cdr:cNvSpPr txBox="1"/>
      </cdr:nvSpPr>
      <cdr:spPr>
        <a:xfrm xmlns:a="http://schemas.openxmlformats.org/drawingml/2006/main">
          <a:off x="922750" y="1974937"/>
          <a:ext cx="1206674" cy="16701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C09C9-46E5-4F2C-8B23-DC21BC26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This is a sample title for an outline paper submitted to LET 2012</vt:lpstr>
    </vt:vector>
  </TitlesOfParts>
  <Company>The International Water Association</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sample title for an outline paper submitted to LET 2012</dc:title>
  <dc:creator>elizabethb</dc:creator>
  <cp:lastModifiedBy>UP ICE</cp:lastModifiedBy>
  <cp:revision>5</cp:revision>
  <cp:lastPrinted>2017-05-11T06:57:00Z</cp:lastPrinted>
  <dcterms:created xsi:type="dcterms:W3CDTF">2017-06-25T04:53:00Z</dcterms:created>
  <dcterms:modified xsi:type="dcterms:W3CDTF">2017-06-25T05:08:00Z</dcterms:modified>
</cp:coreProperties>
</file>