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B97" w:rsidRDefault="00615B97" w:rsidP="004A7753">
      <w:pPr>
        <w:pStyle w:val="IWAFirstparagraph"/>
        <w:suppressLineNumbers w:val="0"/>
        <w:overflowPunct/>
        <w:autoSpaceDE/>
        <w:autoSpaceDN/>
        <w:adjustRightInd/>
        <w:spacing w:before="40" w:after="40" w:line="276" w:lineRule="auto"/>
        <w:jc w:val="center"/>
        <w:textAlignment w:val="auto"/>
        <w:rPr>
          <w:rFonts w:ascii="Times New Roman" w:eastAsia="Times New Roman" w:hAnsi="Times New Roman" w:cs="Times New Roman"/>
          <w:b/>
          <w:bCs/>
          <w:sz w:val="26"/>
          <w:szCs w:val="26"/>
        </w:rPr>
      </w:pPr>
      <w:r w:rsidRPr="00615B97">
        <w:rPr>
          <w:rFonts w:ascii="Times New Roman" w:eastAsia="Times New Roman" w:hAnsi="Times New Roman" w:cs="Times New Roman"/>
          <w:b/>
          <w:bCs/>
          <w:sz w:val="26"/>
          <w:szCs w:val="26"/>
        </w:rPr>
        <w:t>Geology and engineering properties of zeolitic rock for geo-environmental application</w:t>
      </w:r>
    </w:p>
    <w:p w:rsidR="00615B97" w:rsidRDefault="00615B97" w:rsidP="004A7753">
      <w:pPr>
        <w:pStyle w:val="IWAAuthornames"/>
        <w:spacing w:before="40" w:after="40"/>
        <w:jc w:val="center"/>
        <w:rPr>
          <w:rFonts w:ascii="Times New Roman" w:eastAsia="Times New Roman" w:hAnsi="Times New Roman" w:cs="Times New Roman"/>
          <w:i/>
          <w:sz w:val="22"/>
          <w:szCs w:val="22"/>
        </w:rPr>
      </w:pPr>
      <w:r w:rsidRPr="00615B97">
        <w:rPr>
          <w:rFonts w:ascii="Times New Roman" w:eastAsia="Times New Roman" w:hAnsi="Times New Roman" w:cs="Times New Roman"/>
          <w:i/>
          <w:sz w:val="22"/>
          <w:szCs w:val="22"/>
        </w:rPr>
        <w:t>Wawan Budianta</w:t>
      </w:r>
      <w:r w:rsidRPr="00615B97">
        <w:rPr>
          <w:rFonts w:ascii="Times New Roman" w:eastAsia="Times New Roman" w:hAnsi="Times New Roman" w:cs="Times New Roman"/>
          <w:i/>
          <w:sz w:val="22"/>
          <w:szCs w:val="22"/>
          <w:vertAlign w:val="superscript"/>
        </w:rPr>
        <w:t>*1</w:t>
      </w:r>
      <w:r w:rsidRPr="00615B97">
        <w:rPr>
          <w:rFonts w:ascii="Times New Roman" w:eastAsia="Times New Roman" w:hAnsi="Times New Roman" w:cs="Times New Roman"/>
          <w:i/>
          <w:sz w:val="22"/>
          <w:szCs w:val="22"/>
        </w:rPr>
        <w:t>, Luthfi Effendi</w:t>
      </w:r>
      <w:r w:rsidRPr="00615B97">
        <w:rPr>
          <w:rFonts w:ascii="Times New Roman" w:eastAsia="Times New Roman" w:hAnsi="Times New Roman" w:cs="Times New Roman"/>
          <w:i/>
          <w:sz w:val="22"/>
          <w:szCs w:val="22"/>
          <w:vertAlign w:val="superscript"/>
        </w:rPr>
        <w:t>1</w:t>
      </w:r>
      <w:r w:rsidRPr="00615B97">
        <w:rPr>
          <w:rFonts w:ascii="Times New Roman" w:eastAsia="Times New Roman" w:hAnsi="Times New Roman" w:cs="Times New Roman"/>
          <w:i/>
          <w:sz w:val="22"/>
          <w:szCs w:val="22"/>
        </w:rPr>
        <w:t>, Hirofumi Hinode</w:t>
      </w:r>
      <w:r w:rsidRPr="00615B97">
        <w:rPr>
          <w:rFonts w:ascii="Times New Roman" w:eastAsia="Times New Roman" w:hAnsi="Times New Roman" w:cs="Times New Roman"/>
          <w:i/>
          <w:sz w:val="22"/>
          <w:szCs w:val="22"/>
          <w:vertAlign w:val="superscript"/>
        </w:rPr>
        <w:t>2</w:t>
      </w:r>
    </w:p>
    <w:p w:rsidR="00615B97" w:rsidRPr="00615B97" w:rsidRDefault="00EA3554" w:rsidP="00615B97">
      <w:pPr>
        <w:pStyle w:val="IWAAuthornames"/>
        <w:spacing w:before="40" w:after="40"/>
        <w:jc w:val="center"/>
        <w:rPr>
          <w:rFonts w:ascii="Times New Roman" w:eastAsia="Times New Roman" w:hAnsi="Times New Roman" w:cs="Times New Roman"/>
          <w:b w:val="0"/>
          <w:i/>
          <w:sz w:val="22"/>
          <w:szCs w:val="22"/>
        </w:rPr>
      </w:pPr>
      <w:r w:rsidRPr="004A7753">
        <w:rPr>
          <w:rFonts w:ascii="Times New Roman" w:eastAsia="Times New Roman" w:hAnsi="Times New Roman" w:cs="Times New Roman"/>
          <w:b w:val="0"/>
          <w:i/>
          <w:sz w:val="22"/>
          <w:szCs w:val="22"/>
          <w:vertAlign w:val="superscript"/>
        </w:rPr>
        <w:t>1)</w:t>
      </w:r>
      <w:r w:rsidR="00615B97" w:rsidRPr="00615B97">
        <w:rPr>
          <w:rFonts w:ascii="Times New Roman" w:eastAsia="Times New Roman" w:hAnsi="Times New Roman" w:cs="Times New Roman"/>
          <w:b w:val="0"/>
          <w:i/>
          <w:sz w:val="22"/>
          <w:szCs w:val="22"/>
        </w:rPr>
        <w:t>Dept. of Geological Engineering, Universitas Gadjah Mada</w:t>
      </w:r>
    </w:p>
    <w:p w:rsidR="00615B97" w:rsidRPr="00615B97" w:rsidRDefault="00615B97" w:rsidP="00615B97">
      <w:pPr>
        <w:pStyle w:val="IWAAuthornames"/>
        <w:spacing w:before="40" w:after="40"/>
        <w:jc w:val="center"/>
        <w:rPr>
          <w:rFonts w:ascii="Times New Roman" w:eastAsia="Times New Roman" w:hAnsi="Times New Roman" w:cs="Times New Roman"/>
          <w:b w:val="0"/>
          <w:i/>
          <w:sz w:val="22"/>
          <w:szCs w:val="22"/>
        </w:rPr>
      </w:pPr>
      <w:r w:rsidRPr="00615B97">
        <w:rPr>
          <w:rFonts w:ascii="Times New Roman" w:eastAsia="Times New Roman" w:hAnsi="Times New Roman" w:cs="Times New Roman"/>
          <w:b w:val="0"/>
          <w:i/>
          <w:sz w:val="22"/>
          <w:szCs w:val="22"/>
        </w:rPr>
        <w:t>Yogyakarta, Indonesia</w:t>
      </w:r>
    </w:p>
    <w:p w:rsidR="005608A7" w:rsidRDefault="00615B97" w:rsidP="00615B97">
      <w:pPr>
        <w:pStyle w:val="IWAAuthornames"/>
        <w:spacing w:before="40" w:after="40"/>
        <w:jc w:val="center"/>
        <w:rPr>
          <w:rFonts w:ascii="Times New Roman" w:eastAsia="Times New Roman" w:hAnsi="Times New Roman" w:cs="Times New Roman"/>
          <w:b w:val="0"/>
          <w:i/>
          <w:sz w:val="22"/>
          <w:szCs w:val="22"/>
        </w:rPr>
      </w:pPr>
      <w:r w:rsidRPr="00615B97">
        <w:rPr>
          <w:rFonts w:ascii="Times New Roman" w:eastAsia="Times New Roman" w:hAnsi="Times New Roman" w:cs="Times New Roman"/>
          <w:b w:val="0"/>
          <w:i/>
          <w:sz w:val="22"/>
          <w:szCs w:val="22"/>
          <w:vertAlign w:val="superscript"/>
        </w:rPr>
        <w:t>2</w:t>
      </w:r>
      <w:r w:rsidRPr="00615B97">
        <w:rPr>
          <w:rFonts w:ascii="Times New Roman" w:eastAsia="Times New Roman" w:hAnsi="Times New Roman" w:cs="Times New Roman"/>
          <w:b w:val="0"/>
          <w:i/>
          <w:sz w:val="22"/>
          <w:szCs w:val="22"/>
          <w:vertAlign w:val="superscript"/>
        </w:rPr>
        <w:t>)</w:t>
      </w:r>
      <w:r w:rsidRPr="00615B97">
        <w:rPr>
          <w:rFonts w:ascii="Times New Roman" w:eastAsia="Times New Roman" w:hAnsi="Times New Roman" w:cs="Times New Roman"/>
          <w:b w:val="0"/>
          <w:i/>
          <w:sz w:val="22"/>
          <w:szCs w:val="22"/>
        </w:rPr>
        <w:t xml:space="preserve"> Tokyo Institute of Technology, Japan</w:t>
      </w:r>
    </w:p>
    <w:p w:rsidR="00615B97" w:rsidRPr="00615B97" w:rsidRDefault="00615B97" w:rsidP="00615B97">
      <w:pPr>
        <w:pStyle w:val="IWAAuthornames"/>
        <w:spacing w:before="40" w:after="40"/>
        <w:jc w:val="center"/>
        <w:rPr>
          <w:rFonts w:ascii="Times New Roman" w:eastAsia="Times New Roman" w:hAnsi="Times New Roman" w:cs="Times New Roman"/>
          <w:b w:val="0"/>
          <w:i/>
          <w:sz w:val="22"/>
          <w:szCs w:val="22"/>
        </w:rPr>
      </w:pPr>
      <w:r w:rsidRPr="00615B97">
        <w:rPr>
          <w:rFonts w:ascii="Times New Roman" w:eastAsia="Times New Roman" w:hAnsi="Times New Roman" w:cs="Times New Roman"/>
          <w:b w:val="0"/>
          <w:i/>
          <w:sz w:val="22"/>
          <w:szCs w:val="22"/>
        </w:rPr>
        <w:t>*wbudianta@ugm.ac.id</w:t>
      </w:r>
    </w:p>
    <w:p w:rsidR="00C36899" w:rsidRPr="00F94CFD" w:rsidRDefault="00C36899" w:rsidP="00EA3554">
      <w:pPr>
        <w:pStyle w:val="IWAKeyword"/>
        <w:spacing w:before="320"/>
        <w:jc w:val="both"/>
        <w:rPr>
          <w:rFonts w:ascii="Times New Roman" w:eastAsia="Times New Roman" w:hAnsi="Times New Roman" w:cs="Times New Roman"/>
          <w:b/>
          <w:sz w:val="22"/>
          <w:szCs w:val="22"/>
        </w:rPr>
      </w:pPr>
      <w:r w:rsidRPr="00F94CFD">
        <w:rPr>
          <w:rFonts w:ascii="Times New Roman" w:eastAsia="Times New Roman" w:hAnsi="Times New Roman" w:cs="Times New Roman"/>
          <w:b/>
          <w:sz w:val="22"/>
          <w:szCs w:val="22"/>
        </w:rPr>
        <w:t xml:space="preserve">Keywords: </w:t>
      </w:r>
      <w:r w:rsidR="00615B97" w:rsidRPr="00615B97">
        <w:rPr>
          <w:rFonts w:ascii="Times New Roman" w:eastAsia="Times New Roman" w:hAnsi="Times New Roman" w:cs="Times New Roman"/>
          <w:sz w:val="22"/>
          <w:szCs w:val="22"/>
        </w:rPr>
        <w:t>zeolitic rock; geology; geotechnical</w:t>
      </w:r>
    </w:p>
    <w:p w:rsidR="00C36899" w:rsidRPr="00F94CFD" w:rsidRDefault="00C36899" w:rsidP="00C104A8">
      <w:pPr>
        <w:pStyle w:val="IWAHeading"/>
        <w:spacing w:line="276" w:lineRule="auto"/>
        <w:ind w:left="418" w:hanging="418"/>
        <w:contextualSpacing/>
        <w:jc w:val="both"/>
        <w:rPr>
          <w:rFonts w:ascii="Times New Roman" w:eastAsia="Times New Roman" w:hAnsi="Times New Roman" w:cs="Times New Roman"/>
          <w:sz w:val="22"/>
          <w:szCs w:val="22"/>
        </w:rPr>
      </w:pPr>
      <w:r w:rsidRPr="00F94CFD">
        <w:rPr>
          <w:rFonts w:ascii="Times New Roman" w:eastAsia="Times New Roman" w:hAnsi="Times New Roman" w:cs="Times New Roman"/>
          <w:sz w:val="22"/>
          <w:szCs w:val="22"/>
        </w:rPr>
        <w:t>Introduction</w:t>
      </w:r>
    </w:p>
    <w:p w:rsidR="00615B97" w:rsidRPr="00F94CFD" w:rsidRDefault="00906008" w:rsidP="00C104A8">
      <w:pPr>
        <w:pStyle w:val="IWAFirstparagraph"/>
        <w:spacing w:before="40" w:after="40" w:line="276" w:lineRule="auto"/>
        <w:contextualSpacing/>
        <w:rPr>
          <w:rFonts w:ascii="Times New Roman" w:hAnsi="Times New Roman" w:cs="Times New Roman"/>
        </w:rPr>
      </w:pPr>
      <w:r w:rsidRPr="00F94CFD">
        <w:rPr>
          <w:rFonts w:ascii="Times New Roman" w:hAnsi="Times New Roman" w:cs="Times New Roman"/>
          <w:lang w:val="vi-VN"/>
        </w:rPr>
        <w:tab/>
      </w:r>
      <w:r w:rsidR="00615B97" w:rsidRPr="00615B97">
        <w:rPr>
          <w:rFonts w:ascii="Times New Roman" w:hAnsi="Times New Roman" w:cs="Times New Roman"/>
          <w:lang w:val="vi-VN"/>
        </w:rPr>
        <w:t>Natural zeolites occur in different geological settings as rock-forming minerals in many locations in the world. In Tegalrejo area, Gunungkidul District, Yogyakart</w:t>
      </w:r>
      <w:r w:rsidR="00C104A8">
        <w:rPr>
          <w:rFonts w:ascii="Times New Roman" w:hAnsi="Times New Roman" w:cs="Times New Roman"/>
          <w:lang w:val="vi-VN"/>
        </w:rPr>
        <w:t>a Province, Indonesia</w:t>
      </w:r>
      <w:r w:rsidR="00C104A8">
        <w:rPr>
          <w:rFonts w:ascii="Times New Roman" w:hAnsi="Times New Roman" w:cs="Times New Roman"/>
          <w:lang w:val="en-US"/>
        </w:rPr>
        <w:t xml:space="preserve">. </w:t>
      </w:r>
      <w:r w:rsidR="00615B97" w:rsidRPr="00615B97">
        <w:rPr>
          <w:rFonts w:ascii="Times New Roman" w:hAnsi="Times New Roman" w:cs="Times New Roman"/>
          <w:lang w:val="vi-VN"/>
        </w:rPr>
        <w:t>Natural zeolite in this study area has been exposed and appeared as tufaceous zeolite or zeolitic rock. The zeolitic rock in study area was investigated both in geological and geotechnical aspect.  The use of natural zeolite for geoenvironmental and geotechnical application has been inve</w:t>
      </w:r>
      <w:r w:rsidR="00C20D1F">
        <w:rPr>
          <w:rFonts w:ascii="Times New Roman" w:hAnsi="Times New Roman" w:cs="Times New Roman"/>
          <w:lang w:val="vi-VN"/>
        </w:rPr>
        <w:t xml:space="preserve">stigated by several reseachers </w:t>
      </w:r>
      <w:r w:rsidR="00C20D1F">
        <w:rPr>
          <w:rFonts w:ascii="Times New Roman" w:hAnsi="Times New Roman" w:cs="Times New Roman"/>
          <w:lang w:val="en-US"/>
        </w:rPr>
        <w:t>(</w:t>
      </w:r>
      <w:r w:rsidR="00C20D1F" w:rsidRPr="00C20D1F">
        <w:rPr>
          <w:rFonts w:ascii="Times New Roman" w:hAnsi="Times New Roman" w:cs="Times New Roman"/>
          <w:lang w:val="vi-VN"/>
        </w:rPr>
        <w:t xml:space="preserve">Aksoy, </w:t>
      </w:r>
      <w:r w:rsidR="00C20D1F">
        <w:rPr>
          <w:rFonts w:ascii="Times New Roman" w:hAnsi="Times New Roman" w:cs="Times New Roman"/>
          <w:lang w:val="en-US"/>
        </w:rPr>
        <w:t xml:space="preserve">2010; </w:t>
      </w:r>
      <w:r w:rsidR="00C20D1F" w:rsidRPr="00C20D1F">
        <w:rPr>
          <w:rFonts w:ascii="Times New Roman" w:hAnsi="Times New Roman" w:cs="Times New Roman"/>
          <w:lang w:val="vi-VN"/>
        </w:rPr>
        <w:t xml:space="preserve">Ören, </w:t>
      </w:r>
      <w:r w:rsidR="00C20D1F">
        <w:rPr>
          <w:rFonts w:ascii="Times New Roman" w:hAnsi="Times New Roman" w:cs="Times New Roman"/>
          <w:lang w:val="en-US"/>
        </w:rPr>
        <w:t xml:space="preserve">et al, 2013; </w:t>
      </w:r>
      <w:r w:rsidR="00C20D1F" w:rsidRPr="00C20D1F">
        <w:rPr>
          <w:rFonts w:ascii="Times New Roman" w:hAnsi="Times New Roman" w:cs="Times New Roman"/>
          <w:lang w:val="vi-VN"/>
        </w:rPr>
        <w:t xml:space="preserve">Ören, </w:t>
      </w:r>
      <w:r w:rsidR="00C20D1F">
        <w:rPr>
          <w:rFonts w:ascii="Times New Roman" w:hAnsi="Times New Roman" w:cs="Times New Roman"/>
          <w:lang w:val="en-US"/>
        </w:rPr>
        <w:t xml:space="preserve">et al, 2011) </w:t>
      </w:r>
    </w:p>
    <w:p w:rsidR="00C36899" w:rsidRPr="00F94CFD" w:rsidRDefault="00C36899" w:rsidP="00C104A8">
      <w:pPr>
        <w:pStyle w:val="IWAHeading"/>
        <w:spacing w:line="276" w:lineRule="auto"/>
        <w:ind w:left="418" w:hanging="418"/>
        <w:contextualSpacing/>
        <w:jc w:val="both"/>
        <w:rPr>
          <w:rFonts w:ascii="Times New Roman" w:eastAsia="Times New Roman" w:hAnsi="Times New Roman" w:cs="Times New Roman"/>
          <w:sz w:val="22"/>
          <w:szCs w:val="22"/>
        </w:rPr>
      </w:pPr>
      <w:r w:rsidRPr="00F94CFD">
        <w:rPr>
          <w:rFonts w:ascii="Times New Roman" w:eastAsia="Times New Roman" w:hAnsi="Times New Roman" w:cs="Times New Roman"/>
          <w:sz w:val="22"/>
          <w:szCs w:val="22"/>
        </w:rPr>
        <w:t>Material and Methods</w:t>
      </w:r>
    </w:p>
    <w:p w:rsidR="00615B97" w:rsidRPr="00C104A8" w:rsidRDefault="00C104A8" w:rsidP="00C104A8">
      <w:pPr>
        <w:pStyle w:val="IWAFirstparagraph"/>
        <w:spacing w:before="40" w:after="40" w:line="276" w:lineRule="auto"/>
        <w:contextualSpacing/>
        <w:rPr>
          <w:rFonts w:ascii="Times New Roman" w:hAnsi="Times New Roman" w:cs="Times New Roman"/>
          <w:lang w:val="en-US"/>
        </w:rPr>
      </w:pPr>
      <w:r>
        <w:rPr>
          <w:rFonts w:ascii="Times New Roman" w:hAnsi="Times New Roman" w:cs="Times New Roman"/>
          <w:lang w:val="en-US"/>
        </w:rPr>
        <w:t xml:space="preserve">A. </w:t>
      </w:r>
      <w:r w:rsidR="00615B97" w:rsidRPr="00615B97">
        <w:rPr>
          <w:rFonts w:ascii="Times New Roman" w:hAnsi="Times New Roman" w:cs="Times New Roman"/>
          <w:lang w:val="vi-VN"/>
        </w:rPr>
        <w:t>Field methods</w:t>
      </w:r>
      <w:r>
        <w:rPr>
          <w:rFonts w:ascii="Times New Roman" w:hAnsi="Times New Roman" w:cs="Times New Roman"/>
          <w:lang w:val="en-US"/>
        </w:rPr>
        <w:t xml:space="preserve"> and l</w:t>
      </w:r>
      <w:r w:rsidRPr="00615B97">
        <w:rPr>
          <w:rFonts w:ascii="Times New Roman" w:hAnsi="Times New Roman" w:cs="Times New Roman"/>
          <w:lang w:val="vi-VN"/>
        </w:rPr>
        <w:t>aboratory work</w:t>
      </w:r>
    </w:p>
    <w:p w:rsidR="00615B97" w:rsidRPr="00C104A8" w:rsidRDefault="00615B97" w:rsidP="00C104A8">
      <w:pPr>
        <w:pStyle w:val="IWAFirstparagraph"/>
        <w:spacing w:before="40" w:after="40" w:line="276" w:lineRule="auto"/>
        <w:ind w:firstLine="567"/>
        <w:rPr>
          <w:rFonts w:ascii="Times New Roman" w:hAnsi="Times New Roman" w:cs="Times New Roman"/>
          <w:lang w:val="vi-VN"/>
        </w:rPr>
      </w:pPr>
      <w:r w:rsidRPr="00615B97">
        <w:rPr>
          <w:rFonts w:ascii="Times New Roman" w:hAnsi="Times New Roman" w:cs="Times New Roman"/>
          <w:lang w:val="vi-VN"/>
        </w:rPr>
        <w:tab/>
        <w:t>Detailed geological map in 1:25.000 scale and stratigraphical sections were conducted. Detailed geological mapping of the study area was undertaken, concentrating on the origins of the zeolitic rock were discovered. Thicknesses of the zeolitic unit in different places have been measured in order to interpret their lateral distribution. Representative sample was taken in the study area for analysis.</w:t>
      </w:r>
      <w:r w:rsidR="00C104A8">
        <w:rPr>
          <w:rFonts w:ascii="Times New Roman" w:hAnsi="Times New Roman" w:cs="Times New Roman"/>
          <w:lang w:val="en-US"/>
        </w:rPr>
        <w:t xml:space="preserve"> </w:t>
      </w:r>
      <w:r w:rsidRPr="00615B97">
        <w:rPr>
          <w:rFonts w:ascii="Times New Roman" w:hAnsi="Times New Roman" w:cs="Times New Roman"/>
          <w:lang w:val="vi-VN"/>
        </w:rPr>
        <w:t xml:space="preserve">In this study, the zeolitic rock sample were tested to determine on mineralogical and geotechnical aspect. The zeolitic rock samples has been crushed to obtain fine grain size. Mineralogical test include X-ray powder diffraction analysis and cation exchange capacity (CEC). Geotechnical test was conducted including grain size, consistency limits and permeability test. Permeability test was conducted by using falling head method. Tap water was used as the permeant during the hydraulic conductivity tests. These geotechnical index properties could be used to help explain geotechnical engineering behavior. </w:t>
      </w:r>
    </w:p>
    <w:p w:rsidR="00615B97" w:rsidRPr="00615B97" w:rsidRDefault="00C104A8" w:rsidP="00C104A8">
      <w:pPr>
        <w:pStyle w:val="IWAFirstparagraph"/>
        <w:spacing w:before="40" w:after="40" w:line="276" w:lineRule="auto"/>
        <w:rPr>
          <w:rFonts w:ascii="Times New Roman" w:hAnsi="Times New Roman" w:cs="Times New Roman"/>
          <w:lang w:val="vi-VN"/>
        </w:rPr>
      </w:pPr>
      <w:r>
        <w:rPr>
          <w:rFonts w:ascii="Times New Roman" w:hAnsi="Times New Roman" w:cs="Times New Roman"/>
          <w:lang w:val="en-US"/>
        </w:rPr>
        <w:t xml:space="preserve">B. </w:t>
      </w:r>
      <w:r w:rsidR="00615B97">
        <w:rPr>
          <w:rFonts w:ascii="Times New Roman" w:hAnsi="Times New Roman" w:cs="Times New Roman"/>
          <w:lang w:val="vi-VN"/>
        </w:rPr>
        <w:t xml:space="preserve">Geological </w:t>
      </w:r>
      <w:r w:rsidR="00615B97">
        <w:rPr>
          <w:rFonts w:ascii="Times New Roman" w:hAnsi="Times New Roman" w:cs="Times New Roman"/>
          <w:lang w:val="en-US"/>
        </w:rPr>
        <w:t>s</w:t>
      </w:r>
      <w:r w:rsidR="00615B97" w:rsidRPr="00615B97">
        <w:rPr>
          <w:rFonts w:ascii="Times New Roman" w:hAnsi="Times New Roman" w:cs="Times New Roman"/>
          <w:lang w:val="vi-VN"/>
        </w:rPr>
        <w:t>etting</w:t>
      </w:r>
    </w:p>
    <w:p w:rsidR="00C36899" w:rsidRDefault="00615B97" w:rsidP="00270005">
      <w:pPr>
        <w:pStyle w:val="IWAFirstparagraph"/>
        <w:spacing w:after="0" w:line="276" w:lineRule="auto"/>
        <w:ind w:firstLine="567"/>
        <w:contextualSpacing/>
        <w:rPr>
          <w:rFonts w:ascii="Times New Roman" w:hAnsi="Times New Roman" w:cs="Times New Roman"/>
          <w:lang w:val="en-US"/>
        </w:rPr>
      </w:pPr>
      <w:r w:rsidRPr="00615B97">
        <w:rPr>
          <w:rFonts w:ascii="Times New Roman" w:hAnsi="Times New Roman" w:cs="Times New Roman"/>
          <w:lang w:val="vi-VN"/>
        </w:rPr>
        <w:t xml:space="preserve">The zeolitick rock in study area as part of Kebo-Butak Formation of Southern Mountain regional. This Formation is composed of conglomerates, sandstones and mudstones of marine origin. It can be subdivided into two parts which are the lower and the upper part. Previous investigators such as </w:t>
      </w:r>
      <w:r w:rsidR="00C20D1F" w:rsidRPr="00C20D1F">
        <w:rPr>
          <w:rFonts w:ascii="Times New Roman" w:hAnsi="Times New Roman" w:cs="Times New Roman"/>
          <w:lang w:val="vi-VN"/>
        </w:rPr>
        <w:t>Van Bemmelen, 1949</w:t>
      </w:r>
      <w:r w:rsidR="00C20D1F">
        <w:rPr>
          <w:rFonts w:ascii="Times New Roman" w:hAnsi="Times New Roman" w:cs="Times New Roman"/>
          <w:lang w:val="en-US"/>
        </w:rPr>
        <w:t xml:space="preserve">; </w:t>
      </w:r>
      <w:r w:rsidR="00C20D1F" w:rsidRPr="00C20D1F">
        <w:rPr>
          <w:rFonts w:ascii="Times New Roman" w:hAnsi="Times New Roman" w:cs="Times New Roman"/>
          <w:lang w:val="vi-VN"/>
        </w:rPr>
        <w:t xml:space="preserve">Sumarso </w:t>
      </w:r>
      <w:r w:rsidR="00C20D1F">
        <w:rPr>
          <w:rFonts w:ascii="Times New Roman" w:hAnsi="Times New Roman" w:cs="Times New Roman"/>
          <w:lang w:val="en-US"/>
        </w:rPr>
        <w:t>and</w:t>
      </w:r>
      <w:r w:rsidR="00C20D1F">
        <w:rPr>
          <w:rFonts w:ascii="Times New Roman" w:hAnsi="Times New Roman" w:cs="Times New Roman"/>
          <w:lang w:val="vi-VN"/>
        </w:rPr>
        <w:t xml:space="preserve"> Ismoyowati,</w:t>
      </w:r>
      <w:r w:rsidR="00C20D1F" w:rsidRPr="00C20D1F">
        <w:rPr>
          <w:rFonts w:ascii="Times New Roman" w:hAnsi="Times New Roman" w:cs="Times New Roman"/>
          <w:lang w:val="vi-VN"/>
        </w:rPr>
        <w:t xml:space="preserve"> 1975, </w:t>
      </w:r>
      <w:r w:rsidRPr="00615B97">
        <w:rPr>
          <w:rFonts w:ascii="Times New Roman" w:hAnsi="Times New Roman" w:cs="Times New Roman"/>
          <w:lang w:val="vi-VN"/>
        </w:rPr>
        <w:t xml:space="preserve">called the lower part of this Formation as Kebo Beds. This part is composed of interbeds between sandstones, siltstones and mudstones which exhibit turbiditic characters. There are several of conglomeratic sandstones with clay clasts as major constituent. Three layers of andesitic lava are present in the middle part of this Kebo Beds. The upper part of this Formation, previously called the Butak Beds, consists of </w:t>
      </w:r>
      <w:r w:rsidRPr="00615B97">
        <w:rPr>
          <w:rFonts w:ascii="Times New Roman" w:hAnsi="Times New Roman" w:cs="Times New Roman"/>
          <w:lang w:val="vi-VN"/>
        </w:rPr>
        <w:lastRenderedPageBreak/>
        <w:t>stacked interbeds of conglomeratic sandstones which vertically grade into siltstones or mudstones. A greenish color of the sandstones due to chloritic alteration product is characteristic for this upper part. The Kebo-Butak Formation as a whole attains thickness of more than 800 meters. It is interpreted that the whole column was the product of mostly lower submarine fan deposition with several interruptions of mid fan type deposition. The age of this Formation is Late Oligocene</w:t>
      </w:r>
      <w:r w:rsidR="00C20D1F">
        <w:rPr>
          <w:rFonts w:ascii="Times New Roman" w:hAnsi="Times New Roman" w:cs="Times New Roman"/>
          <w:lang w:val="en-US"/>
        </w:rPr>
        <w:t xml:space="preserve"> (Rahardjo, et al, 1983)</w:t>
      </w:r>
      <w:r w:rsidRPr="00615B97">
        <w:rPr>
          <w:rFonts w:ascii="Times New Roman" w:hAnsi="Times New Roman" w:cs="Times New Roman"/>
          <w:lang w:val="vi-VN"/>
        </w:rPr>
        <w:t>.</w:t>
      </w:r>
    </w:p>
    <w:p w:rsidR="00270005" w:rsidRPr="00270005" w:rsidRDefault="00270005" w:rsidP="00270005">
      <w:pPr>
        <w:pStyle w:val="IWANormalParagraph"/>
        <w:rPr>
          <w:lang w:val="en-US"/>
        </w:rPr>
      </w:pPr>
    </w:p>
    <w:p w:rsidR="00C36899" w:rsidRPr="00F94CFD" w:rsidRDefault="00C36899" w:rsidP="00270005">
      <w:pPr>
        <w:pStyle w:val="IWAHeading"/>
        <w:spacing w:before="0" w:after="0" w:line="276" w:lineRule="auto"/>
        <w:ind w:left="418" w:hanging="418"/>
        <w:contextualSpacing/>
        <w:jc w:val="both"/>
        <w:rPr>
          <w:rFonts w:ascii="Times New Roman" w:eastAsia="Times New Roman" w:hAnsi="Times New Roman" w:cs="Times New Roman"/>
          <w:sz w:val="22"/>
          <w:szCs w:val="22"/>
        </w:rPr>
      </w:pPr>
      <w:r w:rsidRPr="00F94CFD">
        <w:rPr>
          <w:rFonts w:ascii="Times New Roman" w:eastAsia="Times New Roman" w:hAnsi="Times New Roman" w:cs="Times New Roman"/>
          <w:sz w:val="22"/>
          <w:szCs w:val="22"/>
        </w:rPr>
        <w:t>Results and Conclusions</w:t>
      </w:r>
    </w:p>
    <w:p w:rsidR="00615B97" w:rsidRPr="00615B97" w:rsidRDefault="00615B97" w:rsidP="00270005">
      <w:pPr>
        <w:pStyle w:val="IWAFirstparagraph"/>
        <w:spacing w:after="0" w:line="276" w:lineRule="auto"/>
        <w:contextualSpacing/>
        <w:rPr>
          <w:rFonts w:ascii="Times New Roman" w:hAnsi="Times New Roman" w:cs="Times New Roman"/>
        </w:rPr>
      </w:pPr>
      <w:r w:rsidRPr="00615B97">
        <w:rPr>
          <w:rFonts w:ascii="Times New Roman" w:hAnsi="Times New Roman" w:cs="Times New Roman"/>
        </w:rPr>
        <w:t>A.</w:t>
      </w:r>
      <w:r w:rsidR="00B044AF">
        <w:rPr>
          <w:rFonts w:ascii="Times New Roman" w:hAnsi="Times New Roman" w:cs="Times New Roman"/>
        </w:rPr>
        <w:t xml:space="preserve"> </w:t>
      </w:r>
      <w:r w:rsidRPr="00615B97">
        <w:rPr>
          <w:rFonts w:ascii="Times New Roman" w:hAnsi="Times New Roman" w:cs="Times New Roman"/>
        </w:rPr>
        <w:t>Geological mapping</w:t>
      </w:r>
    </w:p>
    <w:p w:rsidR="00615B97" w:rsidRPr="00615B97" w:rsidRDefault="00615B97" w:rsidP="00615B97">
      <w:pPr>
        <w:pStyle w:val="BodyText"/>
        <w:spacing w:line="276" w:lineRule="auto"/>
        <w:rPr>
          <w:sz w:val="22"/>
          <w:szCs w:val="22"/>
        </w:rPr>
      </w:pPr>
      <w:r w:rsidRPr="00615B97">
        <w:rPr>
          <w:sz w:val="22"/>
          <w:szCs w:val="22"/>
        </w:rPr>
        <w:t xml:space="preserve">The resut </w:t>
      </w:r>
      <w:r w:rsidR="00C104A8">
        <w:rPr>
          <w:sz w:val="22"/>
          <w:szCs w:val="22"/>
        </w:rPr>
        <w:t>g</w:t>
      </w:r>
      <w:r w:rsidR="00C104A8" w:rsidRPr="00C104A8">
        <w:rPr>
          <w:sz w:val="22"/>
          <w:szCs w:val="22"/>
        </w:rPr>
        <w:t xml:space="preserve">eological map  and </w:t>
      </w:r>
      <w:r w:rsidR="00C104A8">
        <w:rPr>
          <w:sz w:val="22"/>
          <w:szCs w:val="22"/>
        </w:rPr>
        <w:t>l</w:t>
      </w:r>
      <w:r w:rsidR="00C104A8" w:rsidRPr="00C104A8">
        <w:rPr>
          <w:sz w:val="22"/>
          <w:szCs w:val="22"/>
        </w:rPr>
        <w:t xml:space="preserve">ithological column of geological section of study area </w:t>
      </w:r>
      <w:r w:rsidRPr="00615B97">
        <w:rPr>
          <w:sz w:val="22"/>
          <w:szCs w:val="22"/>
        </w:rPr>
        <w:t xml:space="preserve">was shown in Figure 1. The study area consist of two units, interbedded sandstone - tuffacoues sandstone, which zeolitic rock located, and alluvium.  The description of the unit can bee seen in figure 3, which the zeolitic rock located in tuffaceous sandstone with white-grey color, laminated structure, normal gradation, fine sand to medium sand size. </w:t>
      </w:r>
    </w:p>
    <w:p w:rsidR="00B044AF" w:rsidRPr="00615B97" w:rsidRDefault="00B044AF" w:rsidP="00B044AF">
      <w:pPr>
        <w:pStyle w:val="Heading2"/>
        <w:keepLines/>
        <w:numPr>
          <w:ilvl w:val="1"/>
          <w:numId w:val="0"/>
        </w:numPr>
        <w:tabs>
          <w:tab w:val="num" w:pos="288"/>
        </w:tabs>
        <w:spacing w:before="120"/>
        <w:ind w:left="288" w:hanging="288"/>
        <w:rPr>
          <w:rFonts w:ascii="Times New Roman" w:hAnsi="Times New Roman" w:cs="Times New Roman"/>
          <w:b w:val="0"/>
          <w:i w:val="0"/>
          <w:sz w:val="22"/>
          <w:szCs w:val="22"/>
        </w:rPr>
      </w:pPr>
      <w:r>
        <w:rPr>
          <w:rFonts w:ascii="Times New Roman" w:hAnsi="Times New Roman" w:cs="Times New Roman"/>
          <w:b w:val="0"/>
          <w:i w:val="0"/>
          <w:sz w:val="22"/>
          <w:szCs w:val="22"/>
        </w:rPr>
        <w:t xml:space="preserve">B. </w:t>
      </w:r>
      <w:r w:rsidRPr="00615B97">
        <w:rPr>
          <w:rFonts w:ascii="Times New Roman" w:hAnsi="Times New Roman" w:cs="Times New Roman"/>
          <w:b w:val="0"/>
          <w:i w:val="0"/>
          <w:sz w:val="22"/>
          <w:szCs w:val="22"/>
        </w:rPr>
        <w:t xml:space="preserve">Mineralogical and geotechnical characteristic </w:t>
      </w:r>
    </w:p>
    <w:p w:rsidR="00C104A8" w:rsidRDefault="00B044AF" w:rsidP="00C104A8">
      <w:pPr>
        <w:pStyle w:val="BodyText"/>
        <w:spacing w:line="276" w:lineRule="auto"/>
        <w:rPr>
          <w:rFonts w:ascii="AdvTT5235d5a9" w:hAnsi="AdvTT5235d5a9" w:cs="AdvTT5235d5a9"/>
          <w:color w:val="000000"/>
        </w:rPr>
      </w:pPr>
      <w:r w:rsidRPr="00615B97">
        <w:rPr>
          <w:sz w:val="22"/>
          <w:szCs w:val="22"/>
        </w:rPr>
        <w:t xml:space="preserve">The result of microscopy analysis of the unit which the zeolitic rock located in tuffaceous sandstone. It can be observed that the sediment appear as grain supported, consist of tuff in dominant, quarts and lithic.  The result of X-ray powder diffraction analysis revealed that the sample of zeolitic rock in study area consist mostly of clinoptilolite and mordenite. The cation exchange capacity (CEC) of zeolitic rock sample was 16.8 meq/100 gram respectively. One important aspect of the hydraulic barriers is the CEC of the liner material. The measured CEC values of the tested samples are lower than theoretical values reported in the literature, whereas natural zeolites have CEC values between 200 and 400 meq/100 gram </w:t>
      </w:r>
      <w:r w:rsidR="00C20D1F">
        <w:rPr>
          <w:sz w:val="22"/>
          <w:szCs w:val="22"/>
        </w:rPr>
        <w:t>(</w:t>
      </w:r>
      <w:r w:rsidR="00C20D1F" w:rsidRPr="00C20D1F">
        <w:rPr>
          <w:sz w:val="22"/>
          <w:szCs w:val="22"/>
        </w:rPr>
        <w:t>Bis</w:t>
      </w:r>
      <w:r w:rsidR="00C20D1F">
        <w:rPr>
          <w:sz w:val="22"/>
          <w:szCs w:val="22"/>
        </w:rPr>
        <w:t xml:space="preserve">h and </w:t>
      </w:r>
      <w:r w:rsidR="00C20D1F" w:rsidRPr="00C20D1F">
        <w:rPr>
          <w:sz w:val="22"/>
          <w:szCs w:val="22"/>
        </w:rPr>
        <w:t>Guthrie, 1994</w:t>
      </w:r>
      <w:r w:rsidR="00C20D1F">
        <w:rPr>
          <w:sz w:val="22"/>
          <w:szCs w:val="22"/>
        </w:rPr>
        <w:t>)</w:t>
      </w:r>
      <w:r w:rsidRPr="00615B97">
        <w:rPr>
          <w:sz w:val="22"/>
          <w:szCs w:val="22"/>
        </w:rPr>
        <w:t xml:space="preserve">. However, it should be noted that CEC of a zeolite can vary substantially from source to source, and it can be much lower than the theoretical CEC value. The closer the measured CEC is to the theoretical value, the more pure the zeolite and the less the cementing agents and impurities are blocking access to the zeolite pores </w:t>
      </w:r>
      <w:r w:rsidR="00C20D1F">
        <w:rPr>
          <w:sz w:val="22"/>
          <w:szCs w:val="22"/>
        </w:rPr>
        <w:t xml:space="preserve"> (</w:t>
      </w:r>
      <w:r w:rsidR="00C20D1F" w:rsidRPr="00C20D1F">
        <w:rPr>
          <w:sz w:val="22"/>
          <w:szCs w:val="22"/>
        </w:rPr>
        <w:t>Allen</w:t>
      </w:r>
      <w:r w:rsidR="00C20D1F">
        <w:rPr>
          <w:sz w:val="22"/>
          <w:szCs w:val="22"/>
        </w:rPr>
        <w:t xml:space="preserve"> and </w:t>
      </w:r>
      <w:r w:rsidR="00C20D1F" w:rsidRPr="00C20D1F">
        <w:rPr>
          <w:sz w:val="22"/>
          <w:szCs w:val="22"/>
        </w:rPr>
        <w:t xml:space="preserve"> Andrews</w:t>
      </w:r>
      <w:r w:rsidR="00C20D1F">
        <w:rPr>
          <w:sz w:val="22"/>
          <w:szCs w:val="22"/>
        </w:rPr>
        <w:t xml:space="preserve">, </w:t>
      </w:r>
      <w:r w:rsidR="00C20D1F" w:rsidRPr="00C20D1F">
        <w:rPr>
          <w:sz w:val="22"/>
          <w:szCs w:val="22"/>
        </w:rPr>
        <w:t>1997</w:t>
      </w:r>
      <w:r w:rsidR="00C20D1F">
        <w:rPr>
          <w:sz w:val="22"/>
          <w:szCs w:val="22"/>
        </w:rPr>
        <w:t>)</w:t>
      </w:r>
      <w:r w:rsidR="00C104A8">
        <w:rPr>
          <w:sz w:val="22"/>
          <w:szCs w:val="22"/>
        </w:rPr>
        <w:t xml:space="preserve">. </w:t>
      </w:r>
      <w:r w:rsidR="00C20D1F" w:rsidRPr="00C20D1F">
        <w:rPr>
          <w:sz w:val="22"/>
          <w:szCs w:val="22"/>
        </w:rPr>
        <w:t xml:space="preserve">The result of grain size analysis, consistency limit test and permeability test of crashed zeolitic rock were shown in table 1, 2 and 3 respectively. Table 1 show that these zeolite samples mainly contain silts/clay and with low quantities of sand or gravel. </w:t>
      </w:r>
      <w:r w:rsidR="00C20D1F" w:rsidRPr="00C20D1F">
        <w:rPr>
          <w:rFonts w:ascii="AdvTT5235d5a9" w:hAnsi="AdvTT5235d5a9" w:cs="AdvTT5235d5a9"/>
          <w:color w:val="000000"/>
          <w:sz w:val="22"/>
          <w:szCs w:val="22"/>
        </w:rPr>
        <w:t>The speci</w:t>
      </w:r>
      <w:r w:rsidR="00C20D1F" w:rsidRPr="00C20D1F">
        <w:rPr>
          <w:rFonts w:ascii="AdvTT5235d5a9+fb" w:hAnsi="AdvTT5235d5a9+fb" w:cs="AdvTT5235d5a9+fb"/>
          <w:color w:val="000000"/>
          <w:sz w:val="22"/>
          <w:szCs w:val="22"/>
        </w:rPr>
        <w:t>fi</w:t>
      </w:r>
      <w:r w:rsidR="00C20D1F" w:rsidRPr="00C20D1F">
        <w:rPr>
          <w:rFonts w:ascii="AdvTT5235d5a9" w:hAnsi="AdvTT5235d5a9" w:cs="AdvTT5235d5a9"/>
          <w:color w:val="000000"/>
          <w:sz w:val="22"/>
          <w:szCs w:val="22"/>
        </w:rPr>
        <w:t>c gravity values are around 2.4 and these values are in good agreement with reported values in the literature for zeolites</w:t>
      </w:r>
      <w:r w:rsidR="00C104A8">
        <w:rPr>
          <w:rFonts w:ascii="AdvTT5235d5a9" w:hAnsi="AdvTT5235d5a9" w:cs="AdvTT5235d5a9"/>
          <w:color w:val="000000"/>
          <w:sz w:val="22"/>
          <w:szCs w:val="22"/>
        </w:rPr>
        <w:t xml:space="preserve"> (</w:t>
      </w:r>
      <w:r w:rsidR="00C104A8" w:rsidRPr="00C104A8">
        <w:rPr>
          <w:rFonts w:ascii="AdvTT5235d5a9" w:hAnsi="AdvTT5235d5a9" w:cs="AdvTT5235d5a9"/>
          <w:color w:val="000000"/>
          <w:sz w:val="22"/>
          <w:szCs w:val="22"/>
        </w:rPr>
        <w:t>Schultz</w:t>
      </w:r>
      <w:r w:rsidR="00C104A8">
        <w:rPr>
          <w:rFonts w:ascii="AdvTT5235d5a9" w:hAnsi="AdvTT5235d5a9" w:cs="AdvTT5235d5a9"/>
          <w:color w:val="000000"/>
          <w:sz w:val="22"/>
          <w:szCs w:val="22"/>
        </w:rPr>
        <w:t xml:space="preserve"> and </w:t>
      </w:r>
      <w:r w:rsidR="00C104A8" w:rsidRPr="00C104A8">
        <w:rPr>
          <w:rFonts w:ascii="AdvTT5235d5a9" w:hAnsi="AdvTT5235d5a9" w:cs="AdvTT5235d5a9"/>
          <w:color w:val="000000"/>
          <w:sz w:val="22"/>
          <w:szCs w:val="22"/>
        </w:rPr>
        <w:t>Cleaves</w:t>
      </w:r>
      <w:r w:rsidR="00C104A8">
        <w:rPr>
          <w:rFonts w:ascii="AdvTT5235d5a9" w:hAnsi="AdvTT5235d5a9" w:cs="AdvTT5235d5a9"/>
          <w:color w:val="000000"/>
          <w:sz w:val="22"/>
          <w:szCs w:val="22"/>
        </w:rPr>
        <w:t>,</w:t>
      </w:r>
      <w:r w:rsidR="00C104A8" w:rsidRPr="00C104A8">
        <w:rPr>
          <w:rFonts w:ascii="AdvTT5235d5a9" w:hAnsi="AdvTT5235d5a9" w:cs="AdvTT5235d5a9"/>
          <w:color w:val="000000"/>
          <w:sz w:val="22"/>
          <w:szCs w:val="22"/>
        </w:rPr>
        <w:t xml:space="preserve"> 1958</w:t>
      </w:r>
      <w:r w:rsidR="00C104A8">
        <w:rPr>
          <w:rFonts w:ascii="AdvTT5235d5a9" w:hAnsi="AdvTT5235d5a9" w:cs="AdvTT5235d5a9"/>
          <w:color w:val="000000"/>
          <w:sz w:val="22"/>
          <w:szCs w:val="22"/>
        </w:rPr>
        <w:t xml:space="preserve">; </w:t>
      </w:r>
      <w:r w:rsidR="00C104A8" w:rsidRPr="00C104A8">
        <w:rPr>
          <w:rFonts w:ascii="AdvTT5235d5a9" w:hAnsi="AdvTT5235d5a9" w:cs="AdvTT5235d5a9"/>
          <w:color w:val="000000"/>
          <w:sz w:val="22"/>
          <w:szCs w:val="22"/>
        </w:rPr>
        <w:t>Kayabali, 1997</w:t>
      </w:r>
      <w:r w:rsidR="00C104A8">
        <w:rPr>
          <w:rFonts w:ascii="AdvTT5235d5a9" w:hAnsi="AdvTT5235d5a9" w:cs="AdvTT5235d5a9"/>
          <w:color w:val="000000"/>
          <w:sz w:val="22"/>
          <w:szCs w:val="22"/>
        </w:rPr>
        <w:t>)</w:t>
      </w:r>
      <w:r w:rsidR="00C20D1F" w:rsidRPr="00C20D1F">
        <w:rPr>
          <w:rFonts w:ascii="AdvTT5235d5a9" w:hAnsi="AdvTT5235d5a9" w:cs="AdvTT5235d5a9"/>
          <w:sz w:val="22"/>
          <w:szCs w:val="22"/>
        </w:rPr>
        <w:t xml:space="preserve">. </w:t>
      </w:r>
      <w:r w:rsidR="00C20D1F" w:rsidRPr="00C20D1F">
        <w:rPr>
          <w:rFonts w:ascii="AdvTT5235d5a9" w:hAnsi="AdvTT5235d5a9" w:cs="AdvTT5235d5a9"/>
          <w:color w:val="000000"/>
          <w:sz w:val="22"/>
          <w:szCs w:val="22"/>
        </w:rPr>
        <w:t xml:space="preserve">The liquid limit and plastic limit values of sample ie relativeli low. The shrinkage limits of the samples is similar low. </w:t>
      </w:r>
      <w:r w:rsidR="00C104A8" w:rsidRPr="00615B97">
        <w:rPr>
          <w:sz w:val="22"/>
          <w:szCs w:val="22"/>
        </w:rPr>
        <w:t>The general hydraulic conductivity characteristics of compacted zeolites are different, depending on the zeolite particle size. The results showed that hydraulic conductivities of sample is relatively low. This is possibly owing to larger pores between granular zeolite particles. The pores between granular zeolite particles became further larger while running the hydraulic conductivity test.</w:t>
      </w:r>
      <w:r w:rsidR="00C104A8">
        <w:rPr>
          <w:sz w:val="22"/>
          <w:szCs w:val="22"/>
        </w:rPr>
        <w:t xml:space="preserve"> </w:t>
      </w:r>
      <w:r w:rsidR="00C104A8" w:rsidRPr="00615B97">
        <w:rPr>
          <w:sz w:val="22"/>
          <w:szCs w:val="22"/>
        </w:rPr>
        <w:t>However, it should be noted that the hydraulic conductivity of the zeolitic rock can be decreased by mixing of with such as clay soil in order to meet the hydraulic conductivity regulations in landfill liner applications</w:t>
      </w:r>
      <w:r w:rsidR="00C104A8">
        <w:rPr>
          <w:sz w:val="22"/>
          <w:szCs w:val="22"/>
        </w:rPr>
        <w:t xml:space="preserve"> (Aksoy, 2010). </w:t>
      </w:r>
      <w:r w:rsidR="00C104A8" w:rsidRPr="00615B97">
        <w:rPr>
          <w:sz w:val="22"/>
          <w:szCs w:val="22"/>
        </w:rPr>
        <w:t xml:space="preserve">In this study, mineralogical and geotechnical characteristics properties of two natural zeolite samples from Gunungkidul, Yogyakarta  were determined for possible use of geoenvironmental applications. The tested zeolitic </w:t>
      </w:r>
      <w:r w:rsidR="00C104A8" w:rsidRPr="00615B97">
        <w:rPr>
          <w:sz w:val="22"/>
          <w:szCs w:val="22"/>
        </w:rPr>
        <w:lastRenderedPageBreak/>
        <w:t>rock samples contain mainly clinoptilolite and mordenite. The cation exchange capacities values are under the theoretical values because of impurities in the samples. The hydraulic conductivity of the samples was relatively low which suitable for such as liner of waste disposal.</w:t>
      </w:r>
    </w:p>
    <w:p w:rsidR="00615B97" w:rsidRPr="00BE5D27" w:rsidRDefault="00270005" w:rsidP="00615B97">
      <w:r>
        <w:rPr>
          <w:noProof/>
          <w:lang w:val="en-US" w:eastAsia="en-US"/>
        </w:rPr>
        <w:drawing>
          <wp:anchor distT="0" distB="0" distL="114300" distR="114300" simplePos="0" relativeHeight="251660288" behindDoc="1" locked="0" layoutInCell="1" allowOverlap="1">
            <wp:simplePos x="0" y="0"/>
            <wp:positionH relativeFrom="column">
              <wp:posOffset>2840990</wp:posOffset>
            </wp:positionH>
            <wp:positionV relativeFrom="paragraph">
              <wp:posOffset>-49530</wp:posOffset>
            </wp:positionV>
            <wp:extent cx="2374900" cy="2097405"/>
            <wp:effectExtent l="19050" t="0" r="6350" b="0"/>
            <wp:wrapNone/>
            <wp:docPr id="1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2374900" cy="2097405"/>
                    </a:xfrm>
                    <a:prstGeom prst="rect">
                      <a:avLst/>
                    </a:prstGeom>
                    <a:noFill/>
                    <a:ln w="9525">
                      <a:noFill/>
                      <a:miter lim="800000"/>
                      <a:headEnd/>
                      <a:tailEnd/>
                    </a:ln>
                  </pic:spPr>
                </pic:pic>
              </a:graphicData>
            </a:graphic>
          </wp:anchor>
        </w:drawing>
      </w:r>
      <w:r>
        <w:rPr>
          <w:noProof/>
          <w:lang w:val="en-US" w:eastAsia="en-US"/>
        </w:rPr>
        <w:drawing>
          <wp:anchor distT="0" distB="0" distL="114300" distR="114300" simplePos="0" relativeHeight="251662336" behindDoc="1" locked="0" layoutInCell="1" allowOverlap="1">
            <wp:simplePos x="0" y="0"/>
            <wp:positionH relativeFrom="column">
              <wp:posOffset>-216535</wp:posOffset>
            </wp:positionH>
            <wp:positionV relativeFrom="paragraph">
              <wp:posOffset>-49530</wp:posOffset>
            </wp:positionV>
            <wp:extent cx="2813050" cy="2383790"/>
            <wp:effectExtent l="1905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2813050" cy="2383790"/>
                    </a:xfrm>
                    <a:prstGeom prst="rect">
                      <a:avLst/>
                    </a:prstGeom>
                    <a:noFill/>
                    <a:ln w="9525">
                      <a:noFill/>
                      <a:miter lim="800000"/>
                      <a:headEnd/>
                      <a:tailEnd/>
                    </a:ln>
                  </pic:spPr>
                </pic:pic>
              </a:graphicData>
            </a:graphic>
          </wp:anchor>
        </w:drawing>
      </w:r>
    </w:p>
    <w:p w:rsidR="00615B97" w:rsidRDefault="00615B97" w:rsidP="00615B97">
      <w:pPr>
        <w:pStyle w:val="figurecaption"/>
        <w:numPr>
          <w:ilvl w:val="0"/>
          <w:numId w:val="0"/>
        </w:numPr>
      </w:pPr>
    </w:p>
    <w:p w:rsidR="00615B97" w:rsidRDefault="00615B97" w:rsidP="00615B97">
      <w:pPr>
        <w:pStyle w:val="BodyText"/>
      </w:pPr>
    </w:p>
    <w:p w:rsidR="00B044AF" w:rsidRDefault="00B044AF" w:rsidP="00615B97">
      <w:pPr>
        <w:pStyle w:val="Heading2"/>
        <w:keepLines/>
        <w:numPr>
          <w:ilvl w:val="1"/>
          <w:numId w:val="0"/>
        </w:numPr>
        <w:tabs>
          <w:tab w:val="num" w:pos="288"/>
        </w:tabs>
        <w:spacing w:before="120"/>
        <w:ind w:left="288" w:hanging="288"/>
        <w:rPr>
          <w:rFonts w:ascii="Times New Roman" w:hAnsi="Times New Roman" w:cs="Times New Roman"/>
          <w:b w:val="0"/>
          <w:i w:val="0"/>
          <w:sz w:val="22"/>
          <w:szCs w:val="22"/>
        </w:rPr>
      </w:pPr>
    </w:p>
    <w:p w:rsidR="00B044AF" w:rsidRDefault="00B044AF" w:rsidP="00615B97">
      <w:pPr>
        <w:pStyle w:val="Heading2"/>
        <w:keepLines/>
        <w:numPr>
          <w:ilvl w:val="1"/>
          <w:numId w:val="0"/>
        </w:numPr>
        <w:tabs>
          <w:tab w:val="num" w:pos="288"/>
        </w:tabs>
        <w:spacing w:before="120"/>
        <w:ind w:left="288" w:hanging="288"/>
        <w:rPr>
          <w:rFonts w:ascii="Times New Roman" w:hAnsi="Times New Roman" w:cs="Times New Roman"/>
          <w:b w:val="0"/>
          <w:i w:val="0"/>
          <w:sz w:val="22"/>
          <w:szCs w:val="22"/>
        </w:rPr>
      </w:pPr>
    </w:p>
    <w:p w:rsidR="00B044AF" w:rsidRDefault="00B044AF" w:rsidP="00615B97">
      <w:pPr>
        <w:pStyle w:val="Heading2"/>
        <w:keepLines/>
        <w:numPr>
          <w:ilvl w:val="1"/>
          <w:numId w:val="0"/>
        </w:numPr>
        <w:tabs>
          <w:tab w:val="num" w:pos="288"/>
        </w:tabs>
        <w:spacing w:before="120"/>
        <w:ind w:left="288" w:hanging="288"/>
        <w:rPr>
          <w:rFonts w:ascii="Times New Roman" w:hAnsi="Times New Roman" w:cs="Times New Roman"/>
          <w:b w:val="0"/>
          <w:i w:val="0"/>
          <w:sz w:val="22"/>
          <w:szCs w:val="22"/>
        </w:rPr>
      </w:pPr>
    </w:p>
    <w:p w:rsidR="00B044AF" w:rsidRDefault="00B044AF" w:rsidP="00615B97">
      <w:pPr>
        <w:pStyle w:val="Heading2"/>
        <w:keepLines/>
        <w:numPr>
          <w:ilvl w:val="1"/>
          <w:numId w:val="0"/>
        </w:numPr>
        <w:tabs>
          <w:tab w:val="num" w:pos="288"/>
        </w:tabs>
        <w:spacing w:before="120"/>
        <w:ind w:left="288" w:hanging="288"/>
        <w:rPr>
          <w:rFonts w:ascii="Times New Roman" w:hAnsi="Times New Roman" w:cs="Times New Roman"/>
          <w:b w:val="0"/>
          <w:i w:val="0"/>
          <w:sz w:val="22"/>
          <w:szCs w:val="22"/>
        </w:rPr>
      </w:pPr>
    </w:p>
    <w:p w:rsidR="00B044AF" w:rsidRDefault="00B044AF" w:rsidP="00615B97">
      <w:pPr>
        <w:pStyle w:val="Heading2"/>
        <w:keepLines/>
        <w:numPr>
          <w:ilvl w:val="1"/>
          <w:numId w:val="0"/>
        </w:numPr>
        <w:tabs>
          <w:tab w:val="num" w:pos="288"/>
        </w:tabs>
        <w:spacing w:before="120"/>
        <w:ind w:left="288" w:hanging="288"/>
        <w:rPr>
          <w:rFonts w:ascii="Times New Roman" w:hAnsi="Times New Roman" w:cs="Times New Roman"/>
          <w:b w:val="0"/>
          <w:i w:val="0"/>
          <w:sz w:val="22"/>
          <w:szCs w:val="22"/>
        </w:rPr>
      </w:pPr>
    </w:p>
    <w:p w:rsidR="00B044AF" w:rsidRDefault="00B044AF" w:rsidP="00615B97">
      <w:pPr>
        <w:pStyle w:val="Heading2"/>
        <w:keepLines/>
        <w:numPr>
          <w:ilvl w:val="1"/>
          <w:numId w:val="0"/>
        </w:numPr>
        <w:tabs>
          <w:tab w:val="num" w:pos="288"/>
        </w:tabs>
        <w:spacing w:before="120"/>
        <w:ind w:left="288" w:hanging="288"/>
        <w:rPr>
          <w:rFonts w:ascii="Times New Roman" w:hAnsi="Times New Roman" w:cs="Times New Roman"/>
          <w:b w:val="0"/>
          <w:i w:val="0"/>
          <w:sz w:val="22"/>
          <w:szCs w:val="22"/>
        </w:rPr>
      </w:pPr>
    </w:p>
    <w:p w:rsidR="00B044AF" w:rsidRDefault="00B044AF" w:rsidP="00615B97">
      <w:pPr>
        <w:pStyle w:val="Heading2"/>
        <w:keepLines/>
        <w:numPr>
          <w:ilvl w:val="1"/>
          <w:numId w:val="0"/>
        </w:numPr>
        <w:tabs>
          <w:tab w:val="num" w:pos="288"/>
        </w:tabs>
        <w:spacing w:before="120"/>
        <w:ind w:left="288" w:hanging="288"/>
        <w:rPr>
          <w:rFonts w:ascii="Times New Roman" w:hAnsi="Times New Roman" w:cs="Times New Roman"/>
          <w:b w:val="0"/>
          <w:i w:val="0"/>
          <w:sz w:val="22"/>
          <w:szCs w:val="22"/>
        </w:rPr>
      </w:pPr>
    </w:p>
    <w:p w:rsidR="00B044AF" w:rsidRDefault="00B044AF" w:rsidP="00270005">
      <w:pPr>
        <w:pStyle w:val="figurecaption"/>
        <w:numPr>
          <w:ilvl w:val="0"/>
          <w:numId w:val="0"/>
        </w:numPr>
        <w:spacing w:before="0" w:after="0"/>
        <w:contextualSpacing/>
        <w:jc w:val="center"/>
        <w:rPr>
          <w:rFonts w:eastAsia="MS Mincho"/>
          <w:b/>
          <w:sz w:val="22"/>
          <w:szCs w:val="22"/>
        </w:rPr>
      </w:pPr>
      <w:r w:rsidRPr="00B044AF">
        <w:rPr>
          <w:rFonts w:eastAsia="MS Mincho"/>
          <w:b/>
          <w:sz w:val="22"/>
          <w:szCs w:val="22"/>
        </w:rPr>
        <w:t>Fig</w:t>
      </w:r>
      <w:r w:rsidR="00C104A8">
        <w:rPr>
          <w:rFonts w:eastAsia="MS Mincho"/>
          <w:b/>
          <w:sz w:val="22"/>
          <w:szCs w:val="22"/>
        </w:rPr>
        <w:t>ure 1.</w:t>
      </w:r>
      <w:r w:rsidRPr="00B044AF">
        <w:rPr>
          <w:rFonts w:eastAsia="MS Mincho"/>
          <w:b/>
          <w:sz w:val="22"/>
          <w:szCs w:val="22"/>
        </w:rPr>
        <w:t xml:space="preserve"> Geological map  and Lithological column of geological section of study area</w:t>
      </w:r>
    </w:p>
    <w:p w:rsidR="00270005" w:rsidRPr="00B044AF" w:rsidRDefault="00270005" w:rsidP="00270005">
      <w:pPr>
        <w:pStyle w:val="figurecaption"/>
        <w:numPr>
          <w:ilvl w:val="0"/>
          <w:numId w:val="0"/>
        </w:numPr>
        <w:spacing w:before="0" w:after="0"/>
        <w:contextualSpacing/>
        <w:jc w:val="center"/>
        <w:rPr>
          <w:b/>
          <w:sz w:val="22"/>
          <w:szCs w:val="22"/>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4501"/>
        <w:gridCol w:w="4502"/>
      </w:tblGrid>
      <w:tr w:rsidR="00B044AF" w:rsidTr="00270005">
        <w:trPr>
          <w:trHeight w:val="2358"/>
        </w:trPr>
        <w:tc>
          <w:tcPr>
            <w:tcW w:w="4501" w:type="dxa"/>
          </w:tcPr>
          <w:p w:rsidR="00B044AF" w:rsidRPr="00B044AF" w:rsidRDefault="00B044AF" w:rsidP="00B044AF">
            <w:pPr>
              <w:pStyle w:val="BodyText"/>
              <w:spacing w:after="0" w:line="240" w:lineRule="auto"/>
              <w:contextualSpacing/>
              <w:jc w:val="center"/>
              <w:rPr>
                <w:b/>
                <w:sz w:val="22"/>
                <w:szCs w:val="22"/>
              </w:rPr>
            </w:pPr>
            <w:r w:rsidRPr="00B044AF">
              <w:rPr>
                <w:b/>
                <w:sz w:val="22"/>
                <w:szCs w:val="22"/>
              </w:rPr>
              <w:t>Table 2. Consistency limit</w:t>
            </w:r>
          </w:p>
          <w:tbl>
            <w:tblPr>
              <w:tblW w:w="0" w:type="auto"/>
              <w:jc w:val="center"/>
              <w:tblBorders>
                <w:top w:val="single" w:sz="4" w:space="0" w:color="auto"/>
                <w:bottom w:val="single" w:sz="4" w:space="0" w:color="auto"/>
                <w:insideH w:val="single" w:sz="4" w:space="0" w:color="auto"/>
                <w:insideV w:val="single" w:sz="4" w:space="0" w:color="auto"/>
              </w:tblBorders>
              <w:tblLook w:val="04A0"/>
            </w:tblPr>
            <w:tblGrid>
              <w:gridCol w:w="2240"/>
              <w:gridCol w:w="1304"/>
            </w:tblGrid>
            <w:tr w:rsidR="00B044AF" w:rsidRPr="00B044AF" w:rsidTr="00270005">
              <w:trPr>
                <w:jc w:val="center"/>
              </w:trPr>
              <w:tc>
                <w:tcPr>
                  <w:tcW w:w="2240" w:type="dxa"/>
                </w:tcPr>
                <w:p w:rsidR="00B044AF" w:rsidRPr="00B044AF" w:rsidRDefault="00B044AF" w:rsidP="00162181">
                  <w:pPr>
                    <w:contextualSpacing/>
                    <w:rPr>
                      <w:rFonts w:asciiTheme="majorBidi" w:hAnsiTheme="majorBidi" w:cstheme="majorBidi"/>
                      <w:sz w:val="22"/>
                      <w:szCs w:val="22"/>
                    </w:rPr>
                  </w:pPr>
                  <w:r w:rsidRPr="00B044AF">
                    <w:rPr>
                      <w:rFonts w:asciiTheme="majorBidi" w:hAnsiTheme="majorBidi" w:cstheme="majorBidi"/>
                      <w:sz w:val="22"/>
                      <w:szCs w:val="22"/>
                      <w:lang w:val="id-ID"/>
                    </w:rPr>
                    <w:t>Atterberg</w:t>
                  </w:r>
                  <w:r w:rsidRPr="00B044AF">
                    <w:rPr>
                      <w:rFonts w:asciiTheme="majorBidi" w:hAnsiTheme="majorBidi" w:cstheme="majorBidi"/>
                      <w:sz w:val="22"/>
                      <w:szCs w:val="22"/>
                    </w:rPr>
                    <w:t xml:space="preserve"> limit</w:t>
                  </w:r>
                </w:p>
              </w:tc>
              <w:tc>
                <w:tcPr>
                  <w:tcW w:w="1304" w:type="dxa"/>
                </w:tcPr>
                <w:p w:rsidR="00B044AF" w:rsidRPr="00B044AF" w:rsidRDefault="00B044AF" w:rsidP="00162181">
                  <w:pPr>
                    <w:contextualSpacing/>
                    <w:rPr>
                      <w:rFonts w:asciiTheme="majorBidi" w:hAnsiTheme="majorBidi" w:cstheme="majorBidi"/>
                      <w:sz w:val="22"/>
                      <w:szCs w:val="22"/>
                    </w:rPr>
                  </w:pPr>
                  <w:r w:rsidRPr="00B044AF">
                    <w:rPr>
                      <w:rFonts w:asciiTheme="majorBidi" w:hAnsiTheme="majorBidi" w:cstheme="majorBidi"/>
                      <w:sz w:val="22"/>
                      <w:szCs w:val="22"/>
                      <w:lang w:val="id-ID"/>
                    </w:rPr>
                    <w:t>Samp</w:t>
                  </w:r>
                  <w:r w:rsidRPr="00B044AF">
                    <w:rPr>
                      <w:rFonts w:asciiTheme="majorBidi" w:hAnsiTheme="majorBidi" w:cstheme="majorBidi"/>
                      <w:sz w:val="22"/>
                      <w:szCs w:val="22"/>
                    </w:rPr>
                    <w:t>le</w:t>
                  </w:r>
                  <w:r w:rsidRPr="00B044AF">
                    <w:rPr>
                      <w:rFonts w:asciiTheme="majorBidi" w:hAnsiTheme="majorBidi" w:cstheme="majorBidi"/>
                      <w:sz w:val="22"/>
                      <w:szCs w:val="22"/>
                      <w:lang w:val="id-ID"/>
                    </w:rPr>
                    <w:t xml:space="preserve"> </w:t>
                  </w:r>
                </w:p>
              </w:tc>
            </w:tr>
            <w:tr w:rsidR="00B044AF" w:rsidRPr="00B044AF" w:rsidTr="00270005">
              <w:trPr>
                <w:jc w:val="center"/>
              </w:trPr>
              <w:tc>
                <w:tcPr>
                  <w:tcW w:w="2240" w:type="dxa"/>
                  <w:vAlign w:val="bottom"/>
                </w:tcPr>
                <w:p w:rsidR="00B044AF" w:rsidRPr="00B044AF" w:rsidRDefault="00B044AF" w:rsidP="00162181">
                  <w:pPr>
                    <w:contextualSpacing/>
                    <w:rPr>
                      <w:rFonts w:asciiTheme="majorBidi" w:hAnsiTheme="majorBidi" w:cstheme="majorBidi"/>
                      <w:sz w:val="22"/>
                      <w:szCs w:val="22"/>
                    </w:rPr>
                  </w:pPr>
                  <w:r w:rsidRPr="00B044AF">
                    <w:rPr>
                      <w:rFonts w:asciiTheme="majorBidi" w:hAnsiTheme="majorBidi" w:cstheme="majorBidi"/>
                      <w:sz w:val="22"/>
                      <w:szCs w:val="22"/>
                    </w:rPr>
                    <w:t>Initial water content</w:t>
                  </w:r>
                </w:p>
              </w:tc>
              <w:tc>
                <w:tcPr>
                  <w:tcW w:w="1304" w:type="dxa"/>
                  <w:vAlign w:val="bottom"/>
                </w:tcPr>
                <w:p w:rsidR="00B044AF" w:rsidRPr="00B044AF" w:rsidRDefault="00B044AF" w:rsidP="00162181">
                  <w:pPr>
                    <w:contextualSpacing/>
                    <w:rPr>
                      <w:rFonts w:asciiTheme="majorBidi" w:hAnsiTheme="majorBidi" w:cstheme="majorBidi"/>
                      <w:bCs/>
                      <w:sz w:val="22"/>
                      <w:szCs w:val="22"/>
                      <w:lang w:val="id-ID"/>
                    </w:rPr>
                  </w:pPr>
                  <w:r w:rsidRPr="00B044AF">
                    <w:rPr>
                      <w:rFonts w:asciiTheme="majorBidi" w:hAnsiTheme="majorBidi" w:cstheme="majorBidi"/>
                      <w:bCs/>
                      <w:sz w:val="22"/>
                      <w:szCs w:val="22"/>
                    </w:rPr>
                    <w:t>3.1</w:t>
                  </w:r>
                  <w:r w:rsidRPr="00B044AF">
                    <w:rPr>
                      <w:rFonts w:asciiTheme="majorBidi" w:hAnsiTheme="majorBidi" w:cstheme="majorBidi"/>
                      <w:bCs/>
                      <w:sz w:val="22"/>
                      <w:szCs w:val="22"/>
                      <w:lang w:val="id-ID"/>
                    </w:rPr>
                    <w:t xml:space="preserve"> %</w:t>
                  </w:r>
                </w:p>
              </w:tc>
            </w:tr>
            <w:tr w:rsidR="00B044AF" w:rsidRPr="00B044AF" w:rsidTr="00270005">
              <w:trPr>
                <w:jc w:val="center"/>
              </w:trPr>
              <w:tc>
                <w:tcPr>
                  <w:tcW w:w="2240" w:type="dxa"/>
                  <w:vAlign w:val="bottom"/>
                </w:tcPr>
                <w:p w:rsidR="00B044AF" w:rsidRPr="00B044AF" w:rsidRDefault="00B044AF" w:rsidP="00162181">
                  <w:pPr>
                    <w:contextualSpacing/>
                    <w:rPr>
                      <w:rFonts w:asciiTheme="majorBidi" w:hAnsiTheme="majorBidi" w:cstheme="majorBidi"/>
                      <w:sz w:val="22"/>
                      <w:szCs w:val="22"/>
                    </w:rPr>
                  </w:pPr>
                  <w:r w:rsidRPr="00B044AF">
                    <w:rPr>
                      <w:rFonts w:asciiTheme="majorBidi" w:hAnsiTheme="majorBidi" w:cstheme="majorBidi"/>
                      <w:sz w:val="22"/>
                      <w:szCs w:val="22"/>
                    </w:rPr>
                    <w:t>Specific gravity</w:t>
                  </w:r>
                </w:p>
              </w:tc>
              <w:tc>
                <w:tcPr>
                  <w:tcW w:w="1304" w:type="dxa"/>
                  <w:vAlign w:val="bottom"/>
                </w:tcPr>
                <w:p w:rsidR="00B044AF" w:rsidRPr="00B044AF" w:rsidRDefault="00B044AF" w:rsidP="00162181">
                  <w:pPr>
                    <w:contextualSpacing/>
                    <w:rPr>
                      <w:rFonts w:asciiTheme="majorBidi" w:hAnsiTheme="majorBidi" w:cstheme="majorBidi"/>
                      <w:bCs/>
                      <w:sz w:val="22"/>
                      <w:szCs w:val="22"/>
                    </w:rPr>
                  </w:pPr>
                  <w:r w:rsidRPr="00B044AF">
                    <w:rPr>
                      <w:rFonts w:asciiTheme="majorBidi" w:hAnsiTheme="majorBidi" w:cstheme="majorBidi"/>
                      <w:bCs/>
                      <w:sz w:val="22"/>
                      <w:szCs w:val="22"/>
                      <w:lang w:val="id-ID"/>
                    </w:rPr>
                    <w:t>2,</w:t>
                  </w:r>
                  <w:r w:rsidRPr="00B044AF">
                    <w:rPr>
                      <w:rFonts w:asciiTheme="majorBidi" w:hAnsiTheme="majorBidi" w:cstheme="majorBidi"/>
                      <w:bCs/>
                      <w:sz w:val="22"/>
                      <w:szCs w:val="22"/>
                    </w:rPr>
                    <w:t>43</w:t>
                  </w:r>
                </w:p>
              </w:tc>
            </w:tr>
            <w:tr w:rsidR="00B044AF" w:rsidRPr="00B044AF" w:rsidTr="00270005">
              <w:trPr>
                <w:jc w:val="center"/>
              </w:trPr>
              <w:tc>
                <w:tcPr>
                  <w:tcW w:w="2240" w:type="dxa"/>
                </w:tcPr>
                <w:p w:rsidR="00B044AF" w:rsidRPr="00B044AF" w:rsidRDefault="00B044AF" w:rsidP="00162181">
                  <w:pPr>
                    <w:contextualSpacing/>
                    <w:rPr>
                      <w:rFonts w:asciiTheme="majorBidi" w:hAnsiTheme="majorBidi" w:cstheme="majorBidi"/>
                      <w:bCs/>
                      <w:sz w:val="22"/>
                      <w:szCs w:val="22"/>
                    </w:rPr>
                  </w:pPr>
                  <w:r w:rsidRPr="00B044AF">
                    <w:rPr>
                      <w:rFonts w:asciiTheme="majorBidi" w:hAnsiTheme="majorBidi" w:cstheme="majorBidi"/>
                      <w:bCs/>
                      <w:sz w:val="22"/>
                      <w:szCs w:val="22"/>
                    </w:rPr>
                    <w:t>Liquid limit</w:t>
                  </w:r>
                </w:p>
              </w:tc>
              <w:tc>
                <w:tcPr>
                  <w:tcW w:w="1304" w:type="dxa"/>
                </w:tcPr>
                <w:p w:rsidR="00B044AF" w:rsidRPr="00B044AF" w:rsidRDefault="00B044AF" w:rsidP="00162181">
                  <w:pPr>
                    <w:contextualSpacing/>
                    <w:rPr>
                      <w:rFonts w:asciiTheme="majorBidi" w:hAnsiTheme="majorBidi" w:cstheme="majorBidi"/>
                      <w:bCs/>
                      <w:sz w:val="22"/>
                      <w:szCs w:val="22"/>
                      <w:lang w:val="id-ID"/>
                    </w:rPr>
                  </w:pPr>
                  <w:r w:rsidRPr="00B044AF">
                    <w:rPr>
                      <w:rFonts w:asciiTheme="majorBidi" w:hAnsiTheme="majorBidi" w:cstheme="majorBidi"/>
                      <w:bCs/>
                      <w:sz w:val="22"/>
                      <w:szCs w:val="22"/>
                    </w:rPr>
                    <w:t>29.9</w:t>
                  </w:r>
                  <w:r w:rsidRPr="00B044AF">
                    <w:rPr>
                      <w:rFonts w:asciiTheme="majorBidi" w:hAnsiTheme="majorBidi" w:cstheme="majorBidi"/>
                      <w:bCs/>
                      <w:sz w:val="22"/>
                      <w:szCs w:val="22"/>
                      <w:lang w:val="id-ID"/>
                    </w:rPr>
                    <w:t xml:space="preserve"> %</w:t>
                  </w:r>
                </w:p>
              </w:tc>
            </w:tr>
            <w:tr w:rsidR="00B044AF" w:rsidRPr="00B044AF" w:rsidTr="00270005">
              <w:trPr>
                <w:jc w:val="center"/>
              </w:trPr>
              <w:tc>
                <w:tcPr>
                  <w:tcW w:w="2240" w:type="dxa"/>
                </w:tcPr>
                <w:p w:rsidR="00B044AF" w:rsidRPr="00B044AF" w:rsidRDefault="00B044AF" w:rsidP="00162181">
                  <w:pPr>
                    <w:contextualSpacing/>
                    <w:rPr>
                      <w:rFonts w:asciiTheme="majorBidi" w:hAnsiTheme="majorBidi" w:cstheme="majorBidi"/>
                      <w:bCs/>
                      <w:sz w:val="22"/>
                      <w:szCs w:val="22"/>
                    </w:rPr>
                  </w:pPr>
                  <w:r w:rsidRPr="00B044AF">
                    <w:rPr>
                      <w:rFonts w:asciiTheme="majorBidi" w:hAnsiTheme="majorBidi" w:cstheme="majorBidi"/>
                      <w:bCs/>
                      <w:sz w:val="22"/>
                      <w:szCs w:val="22"/>
                    </w:rPr>
                    <w:t>Plastic limit</w:t>
                  </w:r>
                </w:p>
              </w:tc>
              <w:tc>
                <w:tcPr>
                  <w:tcW w:w="1304" w:type="dxa"/>
                </w:tcPr>
                <w:p w:rsidR="00B044AF" w:rsidRPr="00B044AF" w:rsidRDefault="00B044AF" w:rsidP="00162181">
                  <w:pPr>
                    <w:contextualSpacing/>
                    <w:rPr>
                      <w:rFonts w:asciiTheme="majorBidi" w:hAnsiTheme="majorBidi" w:cstheme="majorBidi"/>
                      <w:bCs/>
                      <w:sz w:val="22"/>
                      <w:szCs w:val="22"/>
                      <w:lang w:val="id-ID"/>
                    </w:rPr>
                  </w:pPr>
                  <w:r w:rsidRPr="00B044AF">
                    <w:rPr>
                      <w:rFonts w:asciiTheme="majorBidi" w:hAnsiTheme="majorBidi" w:cstheme="majorBidi"/>
                      <w:bCs/>
                      <w:sz w:val="22"/>
                      <w:szCs w:val="22"/>
                    </w:rPr>
                    <w:t>25.5</w:t>
                  </w:r>
                  <w:r w:rsidRPr="00B044AF">
                    <w:rPr>
                      <w:rFonts w:asciiTheme="majorBidi" w:hAnsiTheme="majorBidi" w:cstheme="majorBidi"/>
                      <w:bCs/>
                      <w:sz w:val="22"/>
                      <w:szCs w:val="22"/>
                      <w:lang w:val="id-ID"/>
                    </w:rPr>
                    <w:t xml:space="preserve"> %</w:t>
                  </w:r>
                </w:p>
              </w:tc>
            </w:tr>
            <w:tr w:rsidR="00B044AF" w:rsidRPr="00B044AF" w:rsidTr="00270005">
              <w:trPr>
                <w:jc w:val="center"/>
              </w:trPr>
              <w:tc>
                <w:tcPr>
                  <w:tcW w:w="2240" w:type="dxa"/>
                </w:tcPr>
                <w:p w:rsidR="00B044AF" w:rsidRPr="00B044AF" w:rsidRDefault="00B044AF" w:rsidP="00162181">
                  <w:pPr>
                    <w:contextualSpacing/>
                    <w:rPr>
                      <w:rFonts w:asciiTheme="majorBidi" w:hAnsiTheme="majorBidi" w:cstheme="majorBidi"/>
                      <w:bCs/>
                      <w:sz w:val="22"/>
                      <w:szCs w:val="22"/>
                    </w:rPr>
                  </w:pPr>
                  <w:r w:rsidRPr="00B044AF">
                    <w:rPr>
                      <w:rFonts w:asciiTheme="majorBidi" w:hAnsiTheme="majorBidi" w:cstheme="majorBidi"/>
                      <w:bCs/>
                      <w:sz w:val="22"/>
                      <w:szCs w:val="22"/>
                    </w:rPr>
                    <w:t>Plasticity index</w:t>
                  </w:r>
                </w:p>
              </w:tc>
              <w:tc>
                <w:tcPr>
                  <w:tcW w:w="1304" w:type="dxa"/>
                </w:tcPr>
                <w:p w:rsidR="00B044AF" w:rsidRPr="00B044AF" w:rsidRDefault="00B044AF" w:rsidP="00162181">
                  <w:pPr>
                    <w:contextualSpacing/>
                    <w:rPr>
                      <w:rFonts w:asciiTheme="majorBidi" w:hAnsiTheme="majorBidi" w:cstheme="majorBidi"/>
                      <w:bCs/>
                      <w:sz w:val="22"/>
                      <w:szCs w:val="22"/>
                      <w:lang w:val="id-ID"/>
                    </w:rPr>
                  </w:pPr>
                  <w:r w:rsidRPr="00B044AF">
                    <w:rPr>
                      <w:rFonts w:asciiTheme="majorBidi" w:hAnsiTheme="majorBidi" w:cstheme="majorBidi"/>
                      <w:bCs/>
                      <w:sz w:val="22"/>
                      <w:szCs w:val="22"/>
                    </w:rPr>
                    <w:t>4.4</w:t>
                  </w:r>
                  <w:r w:rsidRPr="00B044AF">
                    <w:rPr>
                      <w:rFonts w:asciiTheme="majorBidi" w:hAnsiTheme="majorBidi" w:cstheme="majorBidi"/>
                      <w:bCs/>
                      <w:sz w:val="22"/>
                      <w:szCs w:val="22"/>
                      <w:lang w:val="id-ID"/>
                    </w:rPr>
                    <w:t xml:space="preserve"> %</w:t>
                  </w:r>
                </w:p>
              </w:tc>
            </w:tr>
            <w:tr w:rsidR="00B044AF" w:rsidRPr="00B044AF" w:rsidTr="00270005">
              <w:trPr>
                <w:jc w:val="center"/>
              </w:trPr>
              <w:tc>
                <w:tcPr>
                  <w:tcW w:w="2240" w:type="dxa"/>
                </w:tcPr>
                <w:p w:rsidR="00B044AF" w:rsidRPr="00B044AF" w:rsidRDefault="00B044AF" w:rsidP="00162181">
                  <w:pPr>
                    <w:contextualSpacing/>
                    <w:rPr>
                      <w:rFonts w:asciiTheme="majorBidi" w:hAnsiTheme="majorBidi" w:cstheme="majorBidi"/>
                      <w:bCs/>
                      <w:sz w:val="22"/>
                      <w:szCs w:val="22"/>
                    </w:rPr>
                  </w:pPr>
                  <w:r w:rsidRPr="00B044AF">
                    <w:rPr>
                      <w:rFonts w:asciiTheme="majorBidi" w:hAnsiTheme="majorBidi" w:cstheme="majorBidi"/>
                      <w:bCs/>
                      <w:sz w:val="22"/>
                      <w:szCs w:val="22"/>
                    </w:rPr>
                    <w:t>Shrinkage limit</w:t>
                  </w:r>
                </w:p>
              </w:tc>
              <w:tc>
                <w:tcPr>
                  <w:tcW w:w="1304" w:type="dxa"/>
                </w:tcPr>
                <w:p w:rsidR="00B044AF" w:rsidRPr="00B044AF" w:rsidRDefault="00B044AF" w:rsidP="00162181">
                  <w:pPr>
                    <w:contextualSpacing/>
                    <w:rPr>
                      <w:rFonts w:asciiTheme="majorBidi" w:hAnsiTheme="majorBidi" w:cstheme="majorBidi"/>
                      <w:bCs/>
                      <w:sz w:val="22"/>
                      <w:szCs w:val="22"/>
                      <w:lang w:val="id-ID"/>
                    </w:rPr>
                  </w:pPr>
                  <w:r w:rsidRPr="00B044AF">
                    <w:rPr>
                      <w:rFonts w:asciiTheme="majorBidi" w:hAnsiTheme="majorBidi" w:cstheme="majorBidi"/>
                      <w:bCs/>
                      <w:sz w:val="22"/>
                      <w:szCs w:val="22"/>
                    </w:rPr>
                    <w:t>22,92</w:t>
                  </w:r>
                  <w:r w:rsidRPr="00B044AF">
                    <w:rPr>
                      <w:rFonts w:asciiTheme="majorBidi" w:hAnsiTheme="majorBidi" w:cstheme="majorBidi"/>
                      <w:bCs/>
                      <w:sz w:val="22"/>
                      <w:szCs w:val="22"/>
                      <w:lang w:val="id-ID"/>
                    </w:rPr>
                    <w:t xml:space="preserve"> %</w:t>
                  </w:r>
                </w:p>
              </w:tc>
            </w:tr>
          </w:tbl>
          <w:p w:rsidR="00B044AF" w:rsidRPr="00B044AF" w:rsidRDefault="00B044AF" w:rsidP="00615B97">
            <w:pPr>
              <w:autoSpaceDE w:val="0"/>
              <w:autoSpaceDN w:val="0"/>
              <w:adjustRightInd w:val="0"/>
              <w:jc w:val="both"/>
              <w:rPr>
                <w:rFonts w:ascii="AdvTT5235d5a9" w:hAnsi="AdvTT5235d5a9" w:cs="AdvTT5235d5a9"/>
                <w:color w:val="000000"/>
                <w:sz w:val="22"/>
                <w:szCs w:val="22"/>
              </w:rPr>
            </w:pPr>
          </w:p>
        </w:tc>
        <w:tc>
          <w:tcPr>
            <w:tcW w:w="4502" w:type="dxa"/>
          </w:tcPr>
          <w:p w:rsidR="00B044AF" w:rsidRPr="00B044AF" w:rsidRDefault="00B044AF" w:rsidP="00B044AF">
            <w:pPr>
              <w:ind w:firstLine="288"/>
              <w:contextualSpacing/>
              <w:jc w:val="center"/>
              <w:rPr>
                <w:b/>
                <w:sz w:val="22"/>
                <w:szCs w:val="22"/>
              </w:rPr>
            </w:pPr>
            <w:r w:rsidRPr="00B044AF">
              <w:rPr>
                <w:b/>
                <w:sz w:val="22"/>
                <w:szCs w:val="22"/>
              </w:rPr>
              <w:t>Table 1 Partricle size distribution</w:t>
            </w:r>
          </w:p>
          <w:tbl>
            <w:tblPr>
              <w:tblW w:w="3150" w:type="dxa"/>
              <w:jc w:val="center"/>
              <w:tblBorders>
                <w:top w:val="single" w:sz="8" w:space="0" w:color="000000"/>
                <w:bottom w:val="single" w:sz="8" w:space="0" w:color="000000"/>
                <w:insideH w:val="single" w:sz="8" w:space="0" w:color="000000"/>
              </w:tblBorders>
              <w:tblLook w:val="04A0"/>
            </w:tblPr>
            <w:tblGrid>
              <w:gridCol w:w="990"/>
              <w:gridCol w:w="1080"/>
              <w:gridCol w:w="1080"/>
            </w:tblGrid>
            <w:tr w:rsidR="00B044AF" w:rsidRPr="00B044AF" w:rsidTr="00162181">
              <w:trPr>
                <w:trHeight w:val="205"/>
                <w:jc w:val="center"/>
              </w:trPr>
              <w:tc>
                <w:tcPr>
                  <w:tcW w:w="990" w:type="dxa"/>
                  <w:vAlign w:val="center"/>
                  <w:hideMark/>
                </w:tcPr>
                <w:p w:rsidR="00B044AF" w:rsidRPr="00B044AF" w:rsidRDefault="00B044AF" w:rsidP="00162181">
                  <w:pPr>
                    <w:contextualSpacing/>
                    <w:rPr>
                      <w:sz w:val="22"/>
                      <w:szCs w:val="22"/>
                    </w:rPr>
                  </w:pPr>
                  <w:r w:rsidRPr="00B044AF">
                    <w:rPr>
                      <w:iCs/>
                      <w:sz w:val="22"/>
                      <w:szCs w:val="22"/>
                    </w:rPr>
                    <w:t>Gravel</w:t>
                  </w:r>
                </w:p>
              </w:tc>
              <w:tc>
                <w:tcPr>
                  <w:tcW w:w="1080" w:type="dxa"/>
                  <w:vAlign w:val="center"/>
                  <w:hideMark/>
                </w:tcPr>
                <w:p w:rsidR="00B044AF" w:rsidRPr="00B044AF" w:rsidRDefault="00B044AF" w:rsidP="00162181">
                  <w:pPr>
                    <w:contextualSpacing/>
                    <w:rPr>
                      <w:sz w:val="22"/>
                      <w:szCs w:val="22"/>
                    </w:rPr>
                  </w:pPr>
                  <w:r w:rsidRPr="00B044AF">
                    <w:rPr>
                      <w:iCs/>
                      <w:sz w:val="22"/>
                      <w:szCs w:val="22"/>
                    </w:rPr>
                    <w:t>Sand</w:t>
                  </w:r>
                </w:p>
              </w:tc>
              <w:tc>
                <w:tcPr>
                  <w:tcW w:w="1080" w:type="dxa"/>
                  <w:vAlign w:val="center"/>
                  <w:hideMark/>
                </w:tcPr>
                <w:p w:rsidR="00B044AF" w:rsidRPr="00B044AF" w:rsidRDefault="00B044AF" w:rsidP="00162181">
                  <w:pPr>
                    <w:contextualSpacing/>
                    <w:rPr>
                      <w:sz w:val="22"/>
                      <w:szCs w:val="22"/>
                    </w:rPr>
                  </w:pPr>
                  <w:r w:rsidRPr="00B044AF">
                    <w:rPr>
                      <w:iCs/>
                      <w:sz w:val="22"/>
                      <w:szCs w:val="22"/>
                    </w:rPr>
                    <w:t>Silt/ Clay</w:t>
                  </w:r>
                </w:p>
              </w:tc>
            </w:tr>
            <w:tr w:rsidR="00B044AF" w:rsidRPr="00B044AF" w:rsidTr="00162181">
              <w:trPr>
                <w:trHeight w:val="142"/>
                <w:jc w:val="center"/>
              </w:trPr>
              <w:tc>
                <w:tcPr>
                  <w:tcW w:w="990" w:type="dxa"/>
                  <w:tcBorders>
                    <w:bottom w:val="single" w:sz="8" w:space="0" w:color="000000"/>
                  </w:tcBorders>
                  <w:hideMark/>
                </w:tcPr>
                <w:p w:rsidR="00B044AF" w:rsidRPr="00B044AF" w:rsidRDefault="00B044AF" w:rsidP="00162181">
                  <w:pPr>
                    <w:pStyle w:val="NormalWeb"/>
                    <w:spacing w:before="0" w:beforeAutospacing="0" w:after="0" w:afterAutospacing="0"/>
                    <w:contextualSpacing/>
                    <w:jc w:val="center"/>
                    <w:rPr>
                      <w:sz w:val="22"/>
                      <w:szCs w:val="22"/>
                    </w:rPr>
                  </w:pPr>
                  <w:r w:rsidRPr="00B044AF">
                    <w:rPr>
                      <w:color w:val="000000"/>
                      <w:kern w:val="24"/>
                      <w:sz w:val="22"/>
                      <w:szCs w:val="22"/>
                      <w:lang w:val="id-ID"/>
                    </w:rPr>
                    <w:t>0,00 %</w:t>
                  </w:r>
                </w:p>
              </w:tc>
              <w:tc>
                <w:tcPr>
                  <w:tcW w:w="1080" w:type="dxa"/>
                  <w:tcBorders>
                    <w:bottom w:val="single" w:sz="8" w:space="0" w:color="000000"/>
                  </w:tcBorders>
                  <w:hideMark/>
                </w:tcPr>
                <w:p w:rsidR="00B044AF" w:rsidRPr="00B044AF" w:rsidRDefault="00B044AF" w:rsidP="00162181">
                  <w:pPr>
                    <w:pStyle w:val="NormalWeb"/>
                    <w:spacing w:before="0" w:beforeAutospacing="0" w:after="0" w:afterAutospacing="0"/>
                    <w:contextualSpacing/>
                    <w:jc w:val="center"/>
                    <w:rPr>
                      <w:sz w:val="22"/>
                      <w:szCs w:val="22"/>
                    </w:rPr>
                  </w:pPr>
                  <w:r w:rsidRPr="00B044AF">
                    <w:rPr>
                      <w:color w:val="000000"/>
                      <w:kern w:val="24"/>
                      <w:sz w:val="22"/>
                      <w:szCs w:val="22"/>
                    </w:rPr>
                    <w:t>28.6</w:t>
                  </w:r>
                  <w:r w:rsidRPr="00B044AF">
                    <w:rPr>
                      <w:color w:val="000000"/>
                      <w:kern w:val="24"/>
                      <w:sz w:val="22"/>
                      <w:szCs w:val="22"/>
                      <w:lang w:val="id-ID"/>
                    </w:rPr>
                    <w:t xml:space="preserve"> % </w:t>
                  </w:r>
                </w:p>
              </w:tc>
              <w:tc>
                <w:tcPr>
                  <w:tcW w:w="1080" w:type="dxa"/>
                  <w:tcBorders>
                    <w:bottom w:val="single" w:sz="8" w:space="0" w:color="000000"/>
                  </w:tcBorders>
                  <w:hideMark/>
                </w:tcPr>
                <w:p w:rsidR="00B044AF" w:rsidRPr="00B044AF" w:rsidRDefault="00B044AF" w:rsidP="00162181">
                  <w:pPr>
                    <w:pStyle w:val="NormalWeb"/>
                    <w:spacing w:before="0" w:beforeAutospacing="0" w:after="0" w:afterAutospacing="0"/>
                    <w:contextualSpacing/>
                    <w:jc w:val="center"/>
                    <w:rPr>
                      <w:sz w:val="22"/>
                      <w:szCs w:val="22"/>
                    </w:rPr>
                  </w:pPr>
                  <w:r w:rsidRPr="00B044AF">
                    <w:rPr>
                      <w:color w:val="000000"/>
                      <w:kern w:val="24"/>
                      <w:sz w:val="22"/>
                      <w:szCs w:val="22"/>
                    </w:rPr>
                    <w:t xml:space="preserve">71.4 </w:t>
                  </w:r>
                  <w:r w:rsidRPr="00B044AF">
                    <w:rPr>
                      <w:color w:val="000000"/>
                      <w:kern w:val="24"/>
                      <w:sz w:val="22"/>
                      <w:szCs w:val="22"/>
                      <w:lang w:val="id-ID"/>
                    </w:rPr>
                    <w:t xml:space="preserve"> % </w:t>
                  </w:r>
                </w:p>
              </w:tc>
            </w:tr>
          </w:tbl>
          <w:p w:rsidR="00B044AF" w:rsidRPr="00B044AF" w:rsidRDefault="00B044AF" w:rsidP="00B044AF">
            <w:pPr>
              <w:pStyle w:val="BodyText"/>
              <w:spacing w:after="0" w:line="240" w:lineRule="auto"/>
              <w:contextualSpacing/>
              <w:jc w:val="center"/>
              <w:rPr>
                <w:b/>
                <w:sz w:val="22"/>
                <w:szCs w:val="22"/>
              </w:rPr>
            </w:pPr>
          </w:p>
          <w:p w:rsidR="00B044AF" w:rsidRPr="00B044AF" w:rsidRDefault="00B044AF" w:rsidP="00B044AF">
            <w:pPr>
              <w:pStyle w:val="BodyText"/>
              <w:spacing w:after="0" w:line="240" w:lineRule="auto"/>
              <w:contextualSpacing/>
              <w:jc w:val="center"/>
              <w:rPr>
                <w:b/>
                <w:sz w:val="22"/>
                <w:szCs w:val="22"/>
              </w:rPr>
            </w:pPr>
            <w:r w:rsidRPr="00B044AF">
              <w:rPr>
                <w:b/>
                <w:sz w:val="22"/>
                <w:szCs w:val="22"/>
              </w:rPr>
              <w:t>Table 3 Permeability test</w:t>
            </w:r>
          </w:p>
          <w:tbl>
            <w:tblPr>
              <w:tblW w:w="2808" w:type="dxa"/>
              <w:jc w:val="center"/>
              <w:tblBorders>
                <w:top w:val="single" w:sz="8" w:space="0" w:color="000000"/>
                <w:bottom w:val="single" w:sz="8" w:space="0" w:color="000000"/>
                <w:insideH w:val="single" w:sz="8" w:space="0" w:color="000000"/>
              </w:tblBorders>
              <w:tblLook w:val="04A0"/>
            </w:tblPr>
            <w:tblGrid>
              <w:gridCol w:w="1278"/>
              <w:gridCol w:w="1530"/>
            </w:tblGrid>
            <w:tr w:rsidR="00B044AF" w:rsidRPr="00B044AF" w:rsidTr="00162181">
              <w:trPr>
                <w:trHeight w:val="205"/>
                <w:jc w:val="center"/>
              </w:trPr>
              <w:tc>
                <w:tcPr>
                  <w:tcW w:w="1278" w:type="dxa"/>
                  <w:vAlign w:val="center"/>
                  <w:hideMark/>
                </w:tcPr>
                <w:p w:rsidR="00B044AF" w:rsidRPr="00B044AF" w:rsidRDefault="00B044AF" w:rsidP="00162181">
                  <w:pPr>
                    <w:contextualSpacing/>
                    <w:rPr>
                      <w:sz w:val="22"/>
                      <w:szCs w:val="22"/>
                    </w:rPr>
                  </w:pPr>
                  <w:r w:rsidRPr="00B044AF">
                    <w:rPr>
                      <w:sz w:val="22"/>
                      <w:szCs w:val="22"/>
                    </w:rPr>
                    <w:t>Sample</w:t>
                  </w:r>
                </w:p>
              </w:tc>
              <w:tc>
                <w:tcPr>
                  <w:tcW w:w="1530" w:type="dxa"/>
                  <w:vAlign w:val="center"/>
                  <w:hideMark/>
                </w:tcPr>
                <w:p w:rsidR="00B044AF" w:rsidRPr="00B044AF" w:rsidRDefault="00B044AF" w:rsidP="00162181">
                  <w:pPr>
                    <w:contextualSpacing/>
                    <w:rPr>
                      <w:sz w:val="22"/>
                      <w:szCs w:val="22"/>
                    </w:rPr>
                  </w:pPr>
                  <w:r w:rsidRPr="00B044AF">
                    <w:rPr>
                      <w:iCs/>
                      <w:sz w:val="22"/>
                      <w:szCs w:val="22"/>
                    </w:rPr>
                    <w:t>Permeability</w:t>
                  </w:r>
                </w:p>
              </w:tc>
            </w:tr>
            <w:tr w:rsidR="00B044AF" w:rsidRPr="00B044AF" w:rsidTr="00162181">
              <w:trPr>
                <w:trHeight w:val="142"/>
                <w:jc w:val="center"/>
              </w:trPr>
              <w:tc>
                <w:tcPr>
                  <w:tcW w:w="1278" w:type="dxa"/>
                  <w:tcBorders>
                    <w:bottom w:val="single" w:sz="8" w:space="0" w:color="000000"/>
                  </w:tcBorders>
                  <w:vAlign w:val="center"/>
                  <w:hideMark/>
                </w:tcPr>
                <w:p w:rsidR="00B044AF" w:rsidRPr="00B044AF" w:rsidRDefault="00B044AF" w:rsidP="00162181">
                  <w:pPr>
                    <w:contextualSpacing/>
                    <w:rPr>
                      <w:sz w:val="22"/>
                      <w:szCs w:val="22"/>
                    </w:rPr>
                  </w:pPr>
                  <w:r w:rsidRPr="00B044AF">
                    <w:rPr>
                      <w:sz w:val="22"/>
                      <w:szCs w:val="22"/>
                    </w:rPr>
                    <w:t>Zeolitic rock</w:t>
                  </w:r>
                </w:p>
              </w:tc>
              <w:tc>
                <w:tcPr>
                  <w:tcW w:w="1530" w:type="dxa"/>
                  <w:tcBorders>
                    <w:bottom w:val="single" w:sz="8" w:space="0" w:color="000000"/>
                  </w:tcBorders>
                  <w:hideMark/>
                </w:tcPr>
                <w:p w:rsidR="00B044AF" w:rsidRPr="00B044AF" w:rsidRDefault="00B044AF" w:rsidP="00162181">
                  <w:pPr>
                    <w:pStyle w:val="NormalWeb"/>
                    <w:spacing w:before="0" w:beforeAutospacing="0" w:after="0" w:afterAutospacing="0"/>
                    <w:contextualSpacing/>
                    <w:jc w:val="center"/>
                    <w:rPr>
                      <w:sz w:val="22"/>
                      <w:szCs w:val="22"/>
                    </w:rPr>
                  </w:pPr>
                  <w:r w:rsidRPr="00B044AF">
                    <w:rPr>
                      <w:color w:val="000000"/>
                      <w:kern w:val="24"/>
                      <w:sz w:val="22"/>
                      <w:szCs w:val="22"/>
                    </w:rPr>
                    <w:t>2.7</w:t>
                  </w:r>
                  <w:r w:rsidRPr="00B044AF">
                    <w:rPr>
                      <w:color w:val="000000"/>
                      <w:kern w:val="24"/>
                      <w:sz w:val="22"/>
                      <w:szCs w:val="22"/>
                      <w:lang w:val="id-ID"/>
                    </w:rPr>
                    <w:t xml:space="preserve"> x 10</w:t>
                  </w:r>
                  <w:r w:rsidRPr="00B044AF">
                    <w:rPr>
                      <w:color w:val="000000"/>
                      <w:kern w:val="24"/>
                      <w:sz w:val="22"/>
                      <w:szCs w:val="22"/>
                      <w:vertAlign w:val="superscript"/>
                      <w:lang w:val="id-ID"/>
                    </w:rPr>
                    <w:t>-</w:t>
                  </w:r>
                  <w:r w:rsidRPr="00B044AF">
                    <w:rPr>
                      <w:color w:val="000000"/>
                      <w:kern w:val="24"/>
                      <w:sz w:val="22"/>
                      <w:szCs w:val="22"/>
                      <w:vertAlign w:val="superscript"/>
                    </w:rPr>
                    <w:t>7</w:t>
                  </w:r>
                  <w:r w:rsidRPr="00B044AF">
                    <w:rPr>
                      <w:color w:val="000000"/>
                      <w:kern w:val="24"/>
                      <w:sz w:val="22"/>
                      <w:szCs w:val="22"/>
                      <w:lang w:val="id-ID"/>
                    </w:rPr>
                    <w:t xml:space="preserve"> m/det</w:t>
                  </w:r>
                </w:p>
              </w:tc>
            </w:tr>
          </w:tbl>
          <w:p w:rsidR="00B044AF" w:rsidRPr="00B044AF" w:rsidRDefault="00B044AF" w:rsidP="00615B97">
            <w:pPr>
              <w:autoSpaceDE w:val="0"/>
              <w:autoSpaceDN w:val="0"/>
              <w:adjustRightInd w:val="0"/>
              <w:jc w:val="both"/>
              <w:rPr>
                <w:rFonts w:ascii="AdvTT5235d5a9" w:hAnsi="AdvTT5235d5a9" w:cs="AdvTT5235d5a9"/>
                <w:color w:val="000000"/>
                <w:sz w:val="22"/>
                <w:szCs w:val="22"/>
              </w:rPr>
            </w:pPr>
          </w:p>
        </w:tc>
      </w:tr>
    </w:tbl>
    <w:p w:rsidR="00C36899" w:rsidRPr="00F94CFD" w:rsidRDefault="00C36899" w:rsidP="00573278">
      <w:pPr>
        <w:pStyle w:val="IWAHeading"/>
        <w:spacing w:before="240" w:line="276" w:lineRule="auto"/>
        <w:ind w:left="418" w:hanging="418"/>
        <w:jc w:val="both"/>
        <w:rPr>
          <w:rFonts w:ascii="Times New Roman" w:hAnsi="Times New Roman" w:cs="Times New Roman"/>
          <w:sz w:val="22"/>
          <w:szCs w:val="22"/>
        </w:rPr>
      </w:pPr>
      <w:r w:rsidRPr="00F94CFD">
        <w:rPr>
          <w:rFonts w:ascii="Times New Roman" w:hAnsi="Times New Roman" w:cs="Times New Roman"/>
          <w:sz w:val="22"/>
          <w:szCs w:val="22"/>
        </w:rPr>
        <w:t>References</w:t>
      </w:r>
    </w:p>
    <w:p w:rsidR="00C20D1F" w:rsidRDefault="00C20D1F" w:rsidP="00C104A8">
      <w:pPr>
        <w:pStyle w:val="references"/>
        <w:numPr>
          <w:ilvl w:val="0"/>
          <w:numId w:val="0"/>
        </w:numPr>
        <w:ind w:left="360" w:hanging="360"/>
        <w:rPr>
          <w:sz w:val="20"/>
          <w:szCs w:val="20"/>
        </w:rPr>
      </w:pPr>
      <w:r w:rsidRPr="00C20D1F">
        <w:rPr>
          <w:sz w:val="20"/>
          <w:szCs w:val="20"/>
        </w:rPr>
        <w:t>Aksoy, Y. Y., Characterization of two natural zeolites for geotechnical and geoenvironmental applications, Applied Clay Science 50 (2010) 130–136</w:t>
      </w:r>
    </w:p>
    <w:p w:rsidR="00C104A8" w:rsidRPr="00C20D1F" w:rsidRDefault="00C104A8" w:rsidP="00C104A8">
      <w:pPr>
        <w:pStyle w:val="references"/>
        <w:numPr>
          <w:ilvl w:val="0"/>
          <w:numId w:val="0"/>
        </w:numPr>
        <w:ind w:left="360" w:hanging="360"/>
        <w:rPr>
          <w:rFonts w:eastAsia="MS Mincho"/>
          <w:sz w:val="20"/>
          <w:szCs w:val="20"/>
        </w:rPr>
      </w:pPr>
      <w:r w:rsidRPr="00C20D1F">
        <w:rPr>
          <w:rFonts w:eastAsia="MS Mincho"/>
          <w:sz w:val="20"/>
          <w:szCs w:val="20"/>
        </w:rPr>
        <w:t xml:space="preserve">Allen, E., Andrews, R. 1997. http://www.gcsaa.org/gcm /1997/may97/05zeo.html. </w:t>
      </w:r>
    </w:p>
    <w:p w:rsidR="00C104A8" w:rsidRDefault="00C104A8" w:rsidP="00C104A8">
      <w:pPr>
        <w:pStyle w:val="references"/>
        <w:numPr>
          <w:ilvl w:val="0"/>
          <w:numId w:val="0"/>
        </w:numPr>
        <w:ind w:left="360" w:hanging="360"/>
        <w:rPr>
          <w:rFonts w:eastAsia="MS Mincho"/>
          <w:sz w:val="20"/>
          <w:szCs w:val="20"/>
        </w:rPr>
      </w:pPr>
      <w:r w:rsidRPr="00C20D1F">
        <w:rPr>
          <w:rFonts w:eastAsia="MS Mincho"/>
          <w:sz w:val="20"/>
          <w:szCs w:val="20"/>
        </w:rPr>
        <w:t xml:space="preserve">Bish, F., Guthrie, G.D., 1994. Clays and zeolites. In: Guthrie, G.D., Mossmann, B.T. (Eds.), Health effects of mineral dusts: Reviews in Mineralogy, 28, pp. 168–184. </w:t>
      </w:r>
    </w:p>
    <w:p w:rsidR="00C104A8" w:rsidRDefault="00C104A8" w:rsidP="00C104A8">
      <w:pPr>
        <w:pStyle w:val="references"/>
        <w:numPr>
          <w:ilvl w:val="0"/>
          <w:numId w:val="0"/>
        </w:numPr>
        <w:ind w:left="360" w:hanging="360"/>
        <w:rPr>
          <w:rFonts w:eastAsia="MS Mincho"/>
        </w:rPr>
      </w:pPr>
      <w:r w:rsidRPr="00C20D1F">
        <w:rPr>
          <w:rFonts w:eastAsia="MS Mincho"/>
          <w:sz w:val="20"/>
          <w:szCs w:val="20"/>
        </w:rPr>
        <w:t>Kayabali, K., 1997. Engineering aspects of a novel landfill liner material: bentoniteamended natural zeolite. Engineering Geology</w:t>
      </w:r>
      <w:r w:rsidRPr="00656FA1">
        <w:rPr>
          <w:rFonts w:eastAsia="MS Mincho"/>
        </w:rPr>
        <w:t xml:space="preserve"> 45, 105–114. </w:t>
      </w:r>
    </w:p>
    <w:p w:rsidR="00C20D1F" w:rsidRPr="00C20D1F" w:rsidRDefault="00C20D1F" w:rsidP="00C104A8">
      <w:pPr>
        <w:pStyle w:val="references"/>
        <w:numPr>
          <w:ilvl w:val="0"/>
          <w:numId w:val="0"/>
        </w:numPr>
        <w:ind w:left="360" w:hanging="360"/>
        <w:rPr>
          <w:rFonts w:eastAsia="MS Mincho"/>
          <w:sz w:val="20"/>
          <w:szCs w:val="20"/>
        </w:rPr>
      </w:pPr>
      <w:r w:rsidRPr="00C20D1F">
        <w:rPr>
          <w:sz w:val="20"/>
          <w:szCs w:val="20"/>
        </w:rPr>
        <w:t>Ören, A. H., and  Özdamar, T., Hydraulic conductivity of compacted zeolites, 2013, Waste Management &amp; Research, 31(6) 634–640</w:t>
      </w:r>
    </w:p>
    <w:p w:rsidR="00C20D1F" w:rsidRDefault="00C20D1F" w:rsidP="00C104A8">
      <w:pPr>
        <w:pStyle w:val="references"/>
        <w:numPr>
          <w:ilvl w:val="0"/>
          <w:numId w:val="0"/>
        </w:numPr>
        <w:ind w:left="360" w:hanging="360"/>
        <w:rPr>
          <w:sz w:val="20"/>
          <w:szCs w:val="20"/>
        </w:rPr>
      </w:pPr>
      <w:r w:rsidRPr="00C20D1F">
        <w:rPr>
          <w:sz w:val="20"/>
          <w:szCs w:val="20"/>
        </w:rPr>
        <w:t>Ören, A. H., Kaya, A., and Kayalar, A.S, Hydraulic conductivity of zeolite–bentonite mixtures in comparison with sand–bentonite mixtures, Can. Geotech. J. 48: 1343–1353 (2011)</w:t>
      </w:r>
    </w:p>
    <w:p w:rsidR="00C104A8" w:rsidRPr="00C20D1F" w:rsidRDefault="00C104A8" w:rsidP="00C104A8">
      <w:pPr>
        <w:pStyle w:val="references"/>
        <w:numPr>
          <w:ilvl w:val="0"/>
          <w:numId w:val="0"/>
        </w:numPr>
        <w:ind w:left="360" w:hanging="360"/>
        <w:rPr>
          <w:rFonts w:eastAsia="MS Mincho"/>
          <w:sz w:val="20"/>
          <w:szCs w:val="20"/>
        </w:rPr>
      </w:pPr>
      <w:r w:rsidRPr="00C20D1F">
        <w:rPr>
          <w:rFonts w:eastAsia="MS Mincho"/>
          <w:sz w:val="20"/>
          <w:szCs w:val="20"/>
        </w:rPr>
        <w:t xml:space="preserve">Rahardjo, W., 1983, Paleoenvironmental Reconstruction of The Sedimentary Sequence on The Baturagung Escarpment, Gunung Kidul Area , Central Java; Paper Presented on The 12th Annual Meeting of the Association of Indonesian Geologists, Yogyakarta, 19 p. </w:t>
      </w:r>
    </w:p>
    <w:p w:rsidR="00270005" w:rsidRDefault="00C20D1F" w:rsidP="00C104A8">
      <w:pPr>
        <w:pStyle w:val="references"/>
        <w:numPr>
          <w:ilvl w:val="0"/>
          <w:numId w:val="0"/>
        </w:numPr>
        <w:ind w:left="360" w:hanging="360"/>
        <w:rPr>
          <w:rFonts w:eastAsia="MS Mincho"/>
          <w:sz w:val="20"/>
          <w:szCs w:val="20"/>
        </w:rPr>
      </w:pPr>
      <w:r w:rsidRPr="00C20D1F">
        <w:rPr>
          <w:rFonts w:eastAsia="MS Mincho"/>
          <w:sz w:val="20"/>
          <w:szCs w:val="20"/>
        </w:rPr>
        <w:t>Sumarso dan Ismoyowati, T., 1975, Contribution to The Stratigraphy of the Jiwo Hills and Their Southern Surroundings (Central Java); Proceedings of the Indonesian Petroleum Association 4th Annual Convention, 2, p. 19-26.</w:t>
      </w:r>
    </w:p>
    <w:p w:rsidR="00C20D1F" w:rsidRPr="00C20D1F" w:rsidRDefault="00C20D1F" w:rsidP="00C104A8">
      <w:pPr>
        <w:pStyle w:val="references"/>
        <w:numPr>
          <w:ilvl w:val="0"/>
          <w:numId w:val="0"/>
        </w:numPr>
        <w:ind w:left="360" w:hanging="360"/>
        <w:rPr>
          <w:rFonts w:eastAsia="MS Mincho"/>
          <w:sz w:val="20"/>
          <w:szCs w:val="20"/>
        </w:rPr>
      </w:pPr>
      <w:r w:rsidRPr="00C20D1F">
        <w:rPr>
          <w:rFonts w:eastAsia="MS Mincho"/>
          <w:sz w:val="20"/>
          <w:szCs w:val="20"/>
        </w:rPr>
        <w:t xml:space="preserve">Schultz, J.R., Cleaves, A.B., 1958. Geology in Engineering. John Wiley and Sons, Inc., New York. </w:t>
      </w:r>
    </w:p>
    <w:p w:rsidR="00B035B9" w:rsidRPr="00147D54" w:rsidRDefault="00C104A8" w:rsidP="00270005">
      <w:pPr>
        <w:pStyle w:val="references"/>
        <w:numPr>
          <w:ilvl w:val="0"/>
          <w:numId w:val="0"/>
        </w:numPr>
        <w:ind w:left="360" w:hanging="360"/>
        <w:rPr>
          <w:i/>
          <w:iCs/>
          <w:sz w:val="20"/>
          <w:szCs w:val="20"/>
        </w:rPr>
      </w:pPr>
      <w:r w:rsidRPr="00C20D1F">
        <w:rPr>
          <w:rFonts w:eastAsia="MS Mincho"/>
          <w:sz w:val="20"/>
          <w:szCs w:val="20"/>
        </w:rPr>
        <w:t xml:space="preserve">Van Bemmelen, R.W., 1949, The Geology of Indonesia, Part 1A, General Geology; Martinus Nijhoff, The Hague. </w:t>
      </w:r>
      <w:r w:rsidR="002A2442" w:rsidRPr="00F94CFD">
        <w:rPr>
          <w:lang w:val="vi-VN"/>
        </w:rPr>
        <w:tab/>
      </w:r>
    </w:p>
    <w:sectPr w:rsidR="00B035B9" w:rsidRPr="00147D54" w:rsidSect="00B044AF">
      <w:headerReference w:type="default" r:id="rId10"/>
      <w:pgSz w:w="11906" w:h="16838" w:code="9"/>
      <w:pgMar w:top="2268" w:right="1418" w:bottom="2268" w:left="1701" w:header="720" w:footer="158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2370" w:rsidRDefault="006C2370" w:rsidP="00C02F76">
      <w:r>
        <w:separator/>
      </w:r>
    </w:p>
  </w:endnote>
  <w:endnote w:type="continuationSeparator" w:id="1">
    <w:p w:rsidR="006C2370" w:rsidRDefault="006C2370" w:rsidP="00C02F7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dvTT5235d5a9">
    <w:panose1 w:val="00000000000000000000"/>
    <w:charset w:val="00"/>
    <w:family w:val="roman"/>
    <w:notTrueType/>
    <w:pitch w:val="default"/>
    <w:sig w:usb0="00000003" w:usb1="00000000" w:usb2="00000000" w:usb3="00000000" w:csb0="00000001" w:csb1="00000000"/>
  </w:font>
  <w:font w:name="AdvTT5235d5a9+fb">
    <w:panose1 w:val="00000000000000000000"/>
    <w:charset w:val="00"/>
    <w:family w:val="auto"/>
    <w:notTrueType/>
    <w:pitch w:val="default"/>
    <w:sig w:usb0="00000003" w:usb1="00000000" w:usb2="00000000" w:usb3="00000000" w:csb0="00000001" w:csb1="00000000"/>
  </w:font>
  <w:font w:name="Calibri Light">
    <w:altName w:val="Calibri"/>
    <w:charset w:val="00"/>
    <w:family w:val="auto"/>
    <w:pitch w:val="variable"/>
    <w:sig w:usb0="00000001" w:usb1="4000207B" w:usb2="00000000" w:usb3="00000000" w:csb0="0000019F" w:csb1="00000000"/>
  </w:font>
  <w:font w:name="*'52ˇ">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2370" w:rsidRDefault="006C2370" w:rsidP="00C02F76">
      <w:r>
        <w:separator/>
      </w:r>
    </w:p>
  </w:footnote>
  <w:footnote w:type="continuationSeparator" w:id="1">
    <w:p w:rsidR="006C2370" w:rsidRDefault="006C2370" w:rsidP="00C02F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490" w:rsidRPr="009F3A21" w:rsidRDefault="009A1490" w:rsidP="00132307">
    <w:pPr>
      <w:ind w:right="-2"/>
      <w:jc w:val="center"/>
      <w:rPr>
        <w:rFonts w:ascii="Calibri Light" w:hAnsi="Calibri Light" w:cs="*'52ˇ"/>
        <w:lang w:val="vi-VN"/>
      </w:rPr>
    </w:pPr>
    <w:r w:rsidRPr="009F3A21">
      <w:rPr>
        <w:rFonts w:ascii="Calibri Light" w:hAnsi="Calibri Light" w:cs="*'52ˇ"/>
      </w:rPr>
      <w:t>AUN-SEED/Net 2017 Regional Conference on Environmental Engineering (RC-EnvE2017)</w:t>
    </w:r>
  </w:p>
  <w:p w:rsidR="009A1490" w:rsidRPr="009F3A21" w:rsidRDefault="00270005" w:rsidP="008A6C53">
    <w:pPr>
      <w:jc w:val="center"/>
      <w:rPr>
        <w:rFonts w:ascii="Calibri Light" w:hAnsi="Calibri Light" w:cs="*'52ˇ"/>
        <w:b/>
      </w:rPr>
    </w:pPr>
    <w:r>
      <w:rPr>
        <w:noProof/>
        <w:sz w:val="26"/>
        <w:szCs w:val="26"/>
        <w:lang w:val="en-US" w:eastAsia="en-US"/>
      </w:rPr>
      <w:drawing>
        <wp:anchor distT="0" distB="0" distL="114300" distR="114300" simplePos="0" relativeHeight="251658752" behindDoc="0" locked="0" layoutInCell="1" allowOverlap="1">
          <wp:simplePos x="0" y="0"/>
          <wp:positionH relativeFrom="column">
            <wp:posOffset>4057015</wp:posOffset>
          </wp:positionH>
          <wp:positionV relativeFrom="paragraph">
            <wp:posOffset>153035</wp:posOffset>
          </wp:positionV>
          <wp:extent cx="538480" cy="548640"/>
          <wp:effectExtent l="1905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l="24654" r="23100"/>
                  <a:stretch>
                    <a:fillRect/>
                  </a:stretch>
                </pic:blipFill>
                <pic:spPr bwMode="auto">
                  <a:xfrm>
                    <a:off x="0" y="0"/>
                    <a:ext cx="538480" cy="548640"/>
                  </a:xfrm>
                  <a:prstGeom prst="rect">
                    <a:avLst/>
                  </a:prstGeom>
                  <a:noFill/>
                  <a:ln w="9525">
                    <a:noFill/>
                    <a:miter lim="800000"/>
                    <a:headEnd/>
                    <a:tailEnd/>
                  </a:ln>
                </pic:spPr>
              </pic:pic>
            </a:graphicData>
          </a:graphic>
        </wp:anchor>
      </w:drawing>
    </w:r>
    <w:r>
      <w:rPr>
        <w:noProof/>
        <w:lang w:val="en-US" w:eastAsia="en-US"/>
      </w:rPr>
      <w:drawing>
        <wp:anchor distT="0" distB="0" distL="114300" distR="114300" simplePos="0" relativeHeight="251656704" behindDoc="1" locked="0" layoutInCell="1" allowOverlap="1">
          <wp:simplePos x="0" y="0"/>
          <wp:positionH relativeFrom="margin">
            <wp:posOffset>1724025</wp:posOffset>
          </wp:positionH>
          <wp:positionV relativeFrom="paragraph">
            <wp:posOffset>255905</wp:posOffset>
          </wp:positionV>
          <wp:extent cx="2061845" cy="41148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2061845" cy="411480"/>
                  </a:xfrm>
                  <a:prstGeom prst="rect">
                    <a:avLst/>
                  </a:prstGeom>
                  <a:noFill/>
                  <a:ln w="9525">
                    <a:noFill/>
                    <a:miter lim="800000"/>
                    <a:headEnd/>
                    <a:tailEnd/>
                  </a:ln>
                </pic:spPr>
              </pic:pic>
            </a:graphicData>
          </a:graphic>
        </wp:anchor>
      </w:drawing>
    </w:r>
    <w:r w:rsidR="009A1490" w:rsidRPr="009F3A21">
      <w:rPr>
        <w:rFonts w:ascii="Calibri Light" w:hAnsi="Calibri Light" w:cs="*'52ˇ"/>
        <w:b/>
      </w:rPr>
      <w:t xml:space="preserve"> “Environmental Protection toward Green Development”</w:t>
    </w:r>
  </w:p>
  <w:p w:rsidR="00C04323" w:rsidRDefault="00270005" w:rsidP="0018021E">
    <w:pPr>
      <w:pStyle w:val="Header"/>
      <w:rPr>
        <w:lang w:val="vi-VN"/>
      </w:rPr>
    </w:pPr>
    <w:r>
      <w:rPr>
        <w:noProof/>
        <w:sz w:val="26"/>
        <w:szCs w:val="26"/>
        <w:lang w:val="en-US" w:eastAsia="en-US"/>
      </w:rPr>
      <w:drawing>
        <wp:anchor distT="0" distB="0" distL="114300" distR="114300" simplePos="0" relativeHeight="251657728" behindDoc="0" locked="0" layoutInCell="1" allowOverlap="1">
          <wp:simplePos x="0" y="0"/>
          <wp:positionH relativeFrom="column">
            <wp:posOffset>1111250</wp:posOffset>
          </wp:positionH>
          <wp:positionV relativeFrom="paragraph">
            <wp:posOffset>46990</wp:posOffset>
          </wp:positionV>
          <wp:extent cx="386080" cy="448310"/>
          <wp:effectExtent l="0" t="0" r="0" b="0"/>
          <wp:wrapThrough wrapText="bothSides">
            <wp:wrapPolygon edited="0">
              <wp:start x="0" y="0"/>
              <wp:lineTo x="1066" y="21110"/>
              <wp:lineTo x="20250" y="21110"/>
              <wp:lineTo x="20250" y="0"/>
              <wp:lineTo x="0" y="0"/>
            </wp:wrapPolygon>
          </wp:wrapThrough>
          <wp:docPr id="1" name="Picture 5129" descr="Description: logo_H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9" descr="Description: logo_HUT"/>
                  <pic:cNvPicPr>
                    <a:picLocks noChangeAspect="1" noChangeArrowheads="1"/>
                  </pic:cNvPicPr>
                </pic:nvPicPr>
                <pic:blipFill>
                  <a:blip r:embed="rId3"/>
                  <a:srcRect l="-18518" r="-20370"/>
                  <a:stretch>
                    <a:fillRect/>
                  </a:stretch>
                </pic:blipFill>
                <pic:spPr bwMode="auto">
                  <a:xfrm>
                    <a:off x="0" y="0"/>
                    <a:ext cx="386080" cy="448310"/>
                  </a:xfrm>
                  <a:prstGeom prst="rect">
                    <a:avLst/>
                  </a:prstGeom>
                  <a:noFill/>
                  <a:ln w="9525">
                    <a:noFill/>
                    <a:miter lim="800000"/>
                    <a:headEnd/>
                    <a:tailEnd/>
                  </a:ln>
                </pic:spPr>
              </pic:pic>
            </a:graphicData>
          </a:graphic>
        </wp:anchor>
      </w:drawing>
    </w:r>
  </w:p>
  <w:p w:rsidR="00C04323" w:rsidRDefault="00C04323" w:rsidP="0018021E">
    <w:pPr>
      <w:pStyle w:val="Header"/>
      <w:rPr>
        <w:lang w:val="vi-VN"/>
      </w:rPr>
    </w:pPr>
  </w:p>
  <w:p w:rsidR="009A1490" w:rsidRPr="00303722" w:rsidRDefault="00023D13" w:rsidP="0018021E">
    <w:pPr>
      <w:pStyle w:val="Header"/>
      <w:rPr>
        <w:lang w:val="vi-VN"/>
      </w:rPr>
    </w:pPr>
    <w:r>
      <w:rPr>
        <w:lang w:val="vi-VN"/>
      </w:rPr>
      <w:t>_______________</w:t>
    </w:r>
    <w:r w:rsidR="00C04323">
      <w:rPr>
        <w:lang w:val="vi-VN"/>
      </w:rPr>
      <w:t>__________________________________________</w:t>
    </w:r>
    <w:r>
      <w:rPr>
        <w:lang w:val="vi-VN"/>
      </w:rPr>
      <w:t>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342EC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A622A3"/>
    <w:multiLevelType w:val="hybridMultilevel"/>
    <w:tmpl w:val="9A5E7C3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712282"/>
    <w:multiLevelType w:val="hybridMultilevel"/>
    <w:tmpl w:val="2AEE6668"/>
    <w:lvl w:ilvl="0" w:tplc="04130001">
      <w:start w:val="1"/>
      <w:numFmt w:val="bullet"/>
      <w:lvlText w:val=""/>
      <w:lvlJc w:val="left"/>
      <w:pPr>
        <w:ind w:left="930" w:hanging="360"/>
      </w:pPr>
      <w:rPr>
        <w:rFonts w:ascii="Symbol" w:hAnsi="Symbol" w:hint="default"/>
      </w:rPr>
    </w:lvl>
    <w:lvl w:ilvl="1" w:tplc="04130003" w:tentative="1">
      <w:start w:val="1"/>
      <w:numFmt w:val="bullet"/>
      <w:lvlText w:val="o"/>
      <w:lvlJc w:val="left"/>
      <w:pPr>
        <w:ind w:left="1650" w:hanging="360"/>
      </w:pPr>
      <w:rPr>
        <w:rFonts w:ascii="Courier New" w:hAnsi="Courier New" w:cs="Courier New" w:hint="default"/>
      </w:rPr>
    </w:lvl>
    <w:lvl w:ilvl="2" w:tplc="04130005" w:tentative="1">
      <w:start w:val="1"/>
      <w:numFmt w:val="bullet"/>
      <w:lvlText w:val=""/>
      <w:lvlJc w:val="left"/>
      <w:pPr>
        <w:ind w:left="2370" w:hanging="360"/>
      </w:pPr>
      <w:rPr>
        <w:rFonts w:ascii="Wingdings" w:hAnsi="Wingdings" w:hint="default"/>
      </w:rPr>
    </w:lvl>
    <w:lvl w:ilvl="3" w:tplc="04130001" w:tentative="1">
      <w:start w:val="1"/>
      <w:numFmt w:val="bullet"/>
      <w:lvlText w:val=""/>
      <w:lvlJc w:val="left"/>
      <w:pPr>
        <w:ind w:left="3090" w:hanging="360"/>
      </w:pPr>
      <w:rPr>
        <w:rFonts w:ascii="Symbol" w:hAnsi="Symbol" w:hint="default"/>
      </w:rPr>
    </w:lvl>
    <w:lvl w:ilvl="4" w:tplc="04130003" w:tentative="1">
      <w:start w:val="1"/>
      <w:numFmt w:val="bullet"/>
      <w:lvlText w:val="o"/>
      <w:lvlJc w:val="left"/>
      <w:pPr>
        <w:ind w:left="3810" w:hanging="360"/>
      </w:pPr>
      <w:rPr>
        <w:rFonts w:ascii="Courier New" w:hAnsi="Courier New" w:cs="Courier New" w:hint="default"/>
      </w:rPr>
    </w:lvl>
    <w:lvl w:ilvl="5" w:tplc="04130005" w:tentative="1">
      <w:start w:val="1"/>
      <w:numFmt w:val="bullet"/>
      <w:lvlText w:val=""/>
      <w:lvlJc w:val="left"/>
      <w:pPr>
        <w:ind w:left="4530" w:hanging="360"/>
      </w:pPr>
      <w:rPr>
        <w:rFonts w:ascii="Wingdings" w:hAnsi="Wingdings" w:hint="default"/>
      </w:rPr>
    </w:lvl>
    <w:lvl w:ilvl="6" w:tplc="04130001" w:tentative="1">
      <w:start w:val="1"/>
      <w:numFmt w:val="bullet"/>
      <w:lvlText w:val=""/>
      <w:lvlJc w:val="left"/>
      <w:pPr>
        <w:ind w:left="5250" w:hanging="360"/>
      </w:pPr>
      <w:rPr>
        <w:rFonts w:ascii="Symbol" w:hAnsi="Symbol" w:hint="default"/>
      </w:rPr>
    </w:lvl>
    <w:lvl w:ilvl="7" w:tplc="04130003" w:tentative="1">
      <w:start w:val="1"/>
      <w:numFmt w:val="bullet"/>
      <w:lvlText w:val="o"/>
      <w:lvlJc w:val="left"/>
      <w:pPr>
        <w:ind w:left="5970" w:hanging="360"/>
      </w:pPr>
      <w:rPr>
        <w:rFonts w:ascii="Courier New" w:hAnsi="Courier New" w:cs="Courier New" w:hint="default"/>
      </w:rPr>
    </w:lvl>
    <w:lvl w:ilvl="8" w:tplc="04130005" w:tentative="1">
      <w:start w:val="1"/>
      <w:numFmt w:val="bullet"/>
      <w:lvlText w:val=""/>
      <w:lvlJc w:val="left"/>
      <w:pPr>
        <w:ind w:left="6690" w:hanging="360"/>
      </w:pPr>
      <w:rPr>
        <w:rFonts w:ascii="Wingdings" w:hAnsi="Wingdings" w:hint="default"/>
      </w:rPr>
    </w:lvl>
  </w:abstractNum>
  <w:abstractNum w:abstractNumId="3">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drawingGridHorizontalSpacing w:val="120"/>
  <w:displayHorizontalDrawingGridEvery w:val="2"/>
  <w:characterSpacingControl w:val="doNotCompress"/>
  <w:hdrShapeDefaults>
    <o:shapedefaults v:ext="edit" spidmax="3074"/>
  </w:hdrShapeDefaults>
  <w:footnotePr>
    <w:footnote w:id="0"/>
    <w:footnote w:id="1"/>
  </w:footnotePr>
  <w:endnotePr>
    <w:endnote w:id="0"/>
    <w:endnote w:id="1"/>
  </w:endnotePr>
  <w:compat>
    <w:useFELayout/>
  </w:compat>
  <w:rsids>
    <w:rsidRoot w:val="00C36899"/>
    <w:rsid w:val="00023D13"/>
    <w:rsid w:val="00031D97"/>
    <w:rsid w:val="000333E3"/>
    <w:rsid w:val="00036FC4"/>
    <w:rsid w:val="000457CF"/>
    <w:rsid w:val="00052C2F"/>
    <w:rsid w:val="00060A73"/>
    <w:rsid w:val="00096CA8"/>
    <w:rsid w:val="000A6BB8"/>
    <w:rsid w:val="000C0833"/>
    <w:rsid w:val="000C6765"/>
    <w:rsid w:val="000E25B2"/>
    <w:rsid w:val="0010234A"/>
    <w:rsid w:val="00111C1B"/>
    <w:rsid w:val="00116A8F"/>
    <w:rsid w:val="00132307"/>
    <w:rsid w:val="00133205"/>
    <w:rsid w:val="00137A2D"/>
    <w:rsid w:val="00147D54"/>
    <w:rsid w:val="00177A69"/>
    <w:rsid w:val="0018021E"/>
    <w:rsid w:val="001A04C1"/>
    <w:rsid w:val="001C668D"/>
    <w:rsid w:val="001F65BE"/>
    <w:rsid w:val="002127CB"/>
    <w:rsid w:val="0022532E"/>
    <w:rsid w:val="00231AE9"/>
    <w:rsid w:val="00245166"/>
    <w:rsid w:val="00250F4B"/>
    <w:rsid w:val="002635CB"/>
    <w:rsid w:val="00270005"/>
    <w:rsid w:val="00277B4D"/>
    <w:rsid w:val="00294865"/>
    <w:rsid w:val="002A2442"/>
    <w:rsid w:val="002B7884"/>
    <w:rsid w:val="002C0F5F"/>
    <w:rsid w:val="002D141A"/>
    <w:rsid w:val="002F55E8"/>
    <w:rsid w:val="002F7642"/>
    <w:rsid w:val="00303722"/>
    <w:rsid w:val="00312D35"/>
    <w:rsid w:val="003230E0"/>
    <w:rsid w:val="003274F4"/>
    <w:rsid w:val="0033183E"/>
    <w:rsid w:val="003368A7"/>
    <w:rsid w:val="00371762"/>
    <w:rsid w:val="003A05AF"/>
    <w:rsid w:val="003C0EF6"/>
    <w:rsid w:val="003E544E"/>
    <w:rsid w:val="003E6AC1"/>
    <w:rsid w:val="00436CDF"/>
    <w:rsid w:val="00443527"/>
    <w:rsid w:val="00463BDF"/>
    <w:rsid w:val="00480966"/>
    <w:rsid w:val="004947A4"/>
    <w:rsid w:val="004965DD"/>
    <w:rsid w:val="004A3301"/>
    <w:rsid w:val="004A7753"/>
    <w:rsid w:val="004C0D94"/>
    <w:rsid w:val="004C32EB"/>
    <w:rsid w:val="004D382F"/>
    <w:rsid w:val="004E57CB"/>
    <w:rsid w:val="004F6E26"/>
    <w:rsid w:val="005475FB"/>
    <w:rsid w:val="00550C3A"/>
    <w:rsid w:val="005608A7"/>
    <w:rsid w:val="005615DD"/>
    <w:rsid w:val="00571790"/>
    <w:rsid w:val="00573278"/>
    <w:rsid w:val="0058464A"/>
    <w:rsid w:val="00587E47"/>
    <w:rsid w:val="005A064B"/>
    <w:rsid w:val="005A6359"/>
    <w:rsid w:val="005F402C"/>
    <w:rsid w:val="006154D0"/>
    <w:rsid w:val="00615B97"/>
    <w:rsid w:val="00621D32"/>
    <w:rsid w:val="006239E4"/>
    <w:rsid w:val="006275A8"/>
    <w:rsid w:val="00627FB6"/>
    <w:rsid w:val="006325FF"/>
    <w:rsid w:val="00632FBC"/>
    <w:rsid w:val="00634DBB"/>
    <w:rsid w:val="00652D76"/>
    <w:rsid w:val="006617C5"/>
    <w:rsid w:val="00662552"/>
    <w:rsid w:val="00662E69"/>
    <w:rsid w:val="00685387"/>
    <w:rsid w:val="00690C5A"/>
    <w:rsid w:val="00691D1D"/>
    <w:rsid w:val="00697DF1"/>
    <w:rsid w:val="006A7E78"/>
    <w:rsid w:val="006B5B5E"/>
    <w:rsid w:val="006C21EE"/>
    <w:rsid w:val="006C2370"/>
    <w:rsid w:val="006D021E"/>
    <w:rsid w:val="00704500"/>
    <w:rsid w:val="00713C52"/>
    <w:rsid w:val="00721ED7"/>
    <w:rsid w:val="007437A6"/>
    <w:rsid w:val="007676E1"/>
    <w:rsid w:val="0078690D"/>
    <w:rsid w:val="007A279C"/>
    <w:rsid w:val="007A3D63"/>
    <w:rsid w:val="007A7880"/>
    <w:rsid w:val="007B27BF"/>
    <w:rsid w:val="007B796D"/>
    <w:rsid w:val="007C478C"/>
    <w:rsid w:val="007D1DD3"/>
    <w:rsid w:val="007E1B2A"/>
    <w:rsid w:val="007E6E5B"/>
    <w:rsid w:val="00800C32"/>
    <w:rsid w:val="00830CE3"/>
    <w:rsid w:val="00852964"/>
    <w:rsid w:val="00866256"/>
    <w:rsid w:val="00897413"/>
    <w:rsid w:val="008A6C53"/>
    <w:rsid w:val="008B3286"/>
    <w:rsid w:val="008D2510"/>
    <w:rsid w:val="00906008"/>
    <w:rsid w:val="009148BA"/>
    <w:rsid w:val="00917C8D"/>
    <w:rsid w:val="00957ED9"/>
    <w:rsid w:val="00963C04"/>
    <w:rsid w:val="00965465"/>
    <w:rsid w:val="00973D49"/>
    <w:rsid w:val="00974F39"/>
    <w:rsid w:val="00983310"/>
    <w:rsid w:val="009A1490"/>
    <w:rsid w:val="009D306A"/>
    <w:rsid w:val="009D3809"/>
    <w:rsid w:val="009E5467"/>
    <w:rsid w:val="009F0B81"/>
    <w:rsid w:val="009F12F7"/>
    <w:rsid w:val="009F3A21"/>
    <w:rsid w:val="00A0378B"/>
    <w:rsid w:val="00A7117D"/>
    <w:rsid w:val="00A827A7"/>
    <w:rsid w:val="00AD1E5F"/>
    <w:rsid w:val="00AD20FF"/>
    <w:rsid w:val="00B035B9"/>
    <w:rsid w:val="00B044AF"/>
    <w:rsid w:val="00B04553"/>
    <w:rsid w:val="00B072A0"/>
    <w:rsid w:val="00B14516"/>
    <w:rsid w:val="00B2126F"/>
    <w:rsid w:val="00B234CD"/>
    <w:rsid w:val="00B26A0F"/>
    <w:rsid w:val="00B42F24"/>
    <w:rsid w:val="00B479D1"/>
    <w:rsid w:val="00B519E0"/>
    <w:rsid w:val="00B60F9B"/>
    <w:rsid w:val="00B87EAD"/>
    <w:rsid w:val="00B92E86"/>
    <w:rsid w:val="00B93AE1"/>
    <w:rsid w:val="00BE50A6"/>
    <w:rsid w:val="00BF6DB8"/>
    <w:rsid w:val="00C00727"/>
    <w:rsid w:val="00C027D7"/>
    <w:rsid w:val="00C02DF5"/>
    <w:rsid w:val="00C02F76"/>
    <w:rsid w:val="00C04323"/>
    <w:rsid w:val="00C062CD"/>
    <w:rsid w:val="00C104A8"/>
    <w:rsid w:val="00C15083"/>
    <w:rsid w:val="00C20D1F"/>
    <w:rsid w:val="00C20DDD"/>
    <w:rsid w:val="00C33EA0"/>
    <w:rsid w:val="00C36899"/>
    <w:rsid w:val="00C57959"/>
    <w:rsid w:val="00C64886"/>
    <w:rsid w:val="00C833AB"/>
    <w:rsid w:val="00C86405"/>
    <w:rsid w:val="00CA3221"/>
    <w:rsid w:val="00CB1261"/>
    <w:rsid w:val="00CB6227"/>
    <w:rsid w:val="00CC0769"/>
    <w:rsid w:val="00CD72C4"/>
    <w:rsid w:val="00CE27F3"/>
    <w:rsid w:val="00CE417F"/>
    <w:rsid w:val="00CE61D5"/>
    <w:rsid w:val="00CF0045"/>
    <w:rsid w:val="00D022D1"/>
    <w:rsid w:val="00D2137F"/>
    <w:rsid w:val="00D26099"/>
    <w:rsid w:val="00D337DA"/>
    <w:rsid w:val="00DB45E3"/>
    <w:rsid w:val="00DD661C"/>
    <w:rsid w:val="00DF4D39"/>
    <w:rsid w:val="00E146A0"/>
    <w:rsid w:val="00E319D3"/>
    <w:rsid w:val="00E53529"/>
    <w:rsid w:val="00E5482D"/>
    <w:rsid w:val="00E5690D"/>
    <w:rsid w:val="00EA3554"/>
    <w:rsid w:val="00EB6ACC"/>
    <w:rsid w:val="00EC5EFB"/>
    <w:rsid w:val="00ED376B"/>
    <w:rsid w:val="00EF6360"/>
    <w:rsid w:val="00F02133"/>
    <w:rsid w:val="00F03BB6"/>
    <w:rsid w:val="00F3216A"/>
    <w:rsid w:val="00F412AC"/>
    <w:rsid w:val="00F4298B"/>
    <w:rsid w:val="00F4629A"/>
    <w:rsid w:val="00F81EA8"/>
    <w:rsid w:val="00F82399"/>
    <w:rsid w:val="00F94CFD"/>
    <w:rsid w:val="00FC525B"/>
    <w:rsid w:val="00FF14D5"/>
    <w:rsid w:val="00FF4E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Web)" w:uiPriority="99"/>
    <w:lsdException w:name="Table Grid"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C36899"/>
    <w:rPr>
      <w:sz w:val="24"/>
      <w:szCs w:val="24"/>
      <w:lang w:val="en-GB" w:eastAsia="de-DE"/>
    </w:rPr>
  </w:style>
  <w:style w:type="paragraph" w:styleId="Heading1">
    <w:name w:val="heading 1"/>
    <w:basedOn w:val="Normal"/>
    <w:next w:val="Normal"/>
    <w:qFormat/>
    <w:rsid w:val="00C3689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615B97"/>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IWAAuthoraddress">
    <w:name w:val="(IWA) Author address"/>
    <w:basedOn w:val="Normal"/>
    <w:next w:val="IWAKeyword"/>
    <w:rsid w:val="00C36899"/>
    <w:pPr>
      <w:suppressLineNumbers/>
      <w:suppressAutoHyphens/>
      <w:overflowPunct w:val="0"/>
      <w:autoSpaceDE w:val="0"/>
      <w:autoSpaceDN w:val="0"/>
      <w:adjustRightInd w:val="0"/>
      <w:spacing w:line="220" w:lineRule="atLeast"/>
      <w:textAlignment w:val="baseline"/>
    </w:pPr>
    <w:rPr>
      <w:rFonts w:ascii="Arial" w:hAnsi="Arial" w:cs="Arial"/>
      <w:sz w:val="18"/>
      <w:szCs w:val="18"/>
      <w:lang w:eastAsia="en-US"/>
    </w:rPr>
  </w:style>
  <w:style w:type="paragraph" w:customStyle="1" w:styleId="IWAKeyword">
    <w:name w:val="(IWA) Keyword"/>
    <w:basedOn w:val="Normal"/>
    <w:next w:val="Heading1"/>
    <w:link w:val="IWAKeywordZchn"/>
    <w:rsid w:val="00C36899"/>
    <w:pPr>
      <w:suppressLineNumbers/>
      <w:suppressAutoHyphens/>
      <w:overflowPunct w:val="0"/>
      <w:autoSpaceDE w:val="0"/>
      <w:autoSpaceDN w:val="0"/>
      <w:adjustRightInd w:val="0"/>
      <w:spacing w:before="360" w:after="120" w:line="220" w:lineRule="atLeast"/>
      <w:textAlignment w:val="baseline"/>
    </w:pPr>
    <w:rPr>
      <w:rFonts w:ascii="Arial" w:hAnsi="Arial" w:cs="Arial"/>
      <w:sz w:val="18"/>
      <w:szCs w:val="18"/>
      <w:lang w:eastAsia="en-US"/>
    </w:rPr>
  </w:style>
  <w:style w:type="character" w:customStyle="1" w:styleId="IWAKeywordZchn">
    <w:name w:val="(IWA) Keyword Zchn"/>
    <w:link w:val="IWAKeyword"/>
    <w:rsid w:val="00C36899"/>
    <w:rPr>
      <w:rFonts w:ascii="Arial" w:hAnsi="Arial" w:cs="Arial"/>
      <w:sz w:val="18"/>
      <w:szCs w:val="18"/>
      <w:lang w:val="en-GB" w:eastAsia="en-US" w:bidi="ar-SA"/>
    </w:rPr>
  </w:style>
  <w:style w:type="paragraph" w:customStyle="1" w:styleId="IWAAuthornames">
    <w:name w:val="(IWA) Author name(s)"/>
    <w:basedOn w:val="Normal"/>
    <w:next w:val="IWAKeyword"/>
    <w:rsid w:val="00C36899"/>
    <w:pPr>
      <w:suppressLineNumbers/>
      <w:suppressAutoHyphens/>
      <w:overflowPunct w:val="0"/>
      <w:autoSpaceDE w:val="0"/>
      <w:autoSpaceDN w:val="0"/>
      <w:adjustRightInd w:val="0"/>
      <w:spacing w:before="360" w:after="240" w:line="240" w:lineRule="atLeast"/>
      <w:textAlignment w:val="baseline"/>
    </w:pPr>
    <w:rPr>
      <w:rFonts w:ascii="Arial" w:hAnsi="Arial" w:cs="Arial"/>
      <w:b/>
      <w:sz w:val="20"/>
      <w:szCs w:val="20"/>
      <w:lang w:eastAsia="en-US"/>
    </w:rPr>
  </w:style>
  <w:style w:type="paragraph" w:customStyle="1" w:styleId="IWAFigure">
    <w:name w:val="(IWA) Figure"/>
    <w:basedOn w:val="Normal"/>
    <w:rsid w:val="00C36899"/>
    <w:pPr>
      <w:spacing w:before="240" w:after="120"/>
      <w:jc w:val="center"/>
    </w:pPr>
    <w:rPr>
      <w:rFonts w:ascii="Arial" w:hAnsi="Arial"/>
      <w:sz w:val="22"/>
      <w:lang w:eastAsia="en-US"/>
    </w:rPr>
  </w:style>
  <w:style w:type="paragraph" w:customStyle="1" w:styleId="IWAFirstparagraph">
    <w:name w:val="(IWA) First paragraph"/>
    <w:basedOn w:val="Normal"/>
    <w:next w:val="IWANormalParagraph"/>
    <w:rsid w:val="00C36899"/>
    <w:pPr>
      <w:suppressLineNumbers/>
      <w:overflowPunct w:val="0"/>
      <w:autoSpaceDE w:val="0"/>
      <w:autoSpaceDN w:val="0"/>
      <w:adjustRightInd w:val="0"/>
      <w:spacing w:after="120" w:line="240" w:lineRule="atLeast"/>
      <w:jc w:val="both"/>
      <w:textAlignment w:val="baseline"/>
    </w:pPr>
    <w:rPr>
      <w:rFonts w:ascii="Arial" w:hAnsi="Arial" w:cs="Arial"/>
      <w:sz w:val="22"/>
      <w:szCs w:val="22"/>
      <w:lang w:eastAsia="en-US"/>
    </w:rPr>
  </w:style>
  <w:style w:type="paragraph" w:customStyle="1" w:styleId="IWANormalParagraph">
    <w:name w:val="(IWA) Normal Paragraph"/>
    <w:basedOn w:val="Normal"/>
    <w:rsid w:val="00C36899"/>
    <w:pPr>
      <w:spacing w:after="120"/>
      <w:ind w:firstLine="210"/>
      <w:jc w:val="both"/>
    </w:pPr>
    <w:rPr>
      <w:rFonts w:ascii="Arial" w:hAnsi="Arial" w:cs="Arial"/>
      <w:sz w:val="22"/>
      <w:szCs w:val="22"/>
      <w:lang w:eastAsia="en-US"/>
    </w:rPr>
  </w:style>
  <w:style w:type="paragraph" w:customStyle="1" w:styleId="IWAPaperTitle">
    <w:name w:val="(IWA) Paper Title"/>
    <w:basedOn w:val="Normal"/>
    <w:next w:val="IWAAuthornames"/>
    <w:rsid w:val="00C36899"/>
    <w:rPr>
      <w:rFonts w:ascii="Arial" w:hAnsi="Arial" w:cs="Arial"/>
      <w:b/>
      <w:bCs/>
      <w:sz w:val="28"/>
      <w:szCs w:val="28"/>
      <w:lang w:eastAsia="en-US"/>
    </w:rPr>
  </w:style>
  <w:style w:type="paragraph" w:customStyle="1" w:styleId="IWAReferences">
    <w:name w:val="(IWA) References"/>
    <w:basedOn w:val="Normal"/>
    <w:rsid w:val="00C36899"/>
    <w:pPr>
      <w:suppressLineNumbers/>
      <w:overflowPunct w:val="0"/>
      <w:autoSpaceDE w:val="0"/>
      <w:autoSpaceDN w:val="0"/>
      <w:adjustRightInd w:val="0"/>
      <w:spacing w:before="60" w:after="60" w:line="200" w:lineRule="exact"/>
      <w:ind w:left="357" w:hanging="357"/>
      <w:jc w:val="both"/>
      <w:textAlignment w:val="baseline"/>
    </w:pPr>
    <w:rPr>
      <w:rFonts w:ascii="Arial" w:hAnsi="Arial" w:cs="Arial"/>
      <w:sz w:val="18"/>
      <w:szCs w:val="18"/>
      <w:lang w:eastAsia="en-US"/>
    </w:rPr>
  </w:style>
  <w:style w:type="paragraph" w:customStyle="1" w:styleId="IWAHeading">
    <w:name w:val="(IWA) Heading"/>
    <w:basedOn w:val="Heading1"/>
    <w:next w:val="IWAFirstparagraph"/>
    <w:rsid w:val="00C36899"/>
    <w:pPr>
      <w:suppressLineNumbers/>
      <w:tabs>
        <w:tab w:val="left" w:pos="414"/>
      </w:tabs>
      <w:overflowPunct w:val="0"/>
      <w:autoSpaceDE w:val="0"/>
      <w:autoSpaceDN w:val="0"/>
      <w:adjustRightInd w:val="0"/>
      <w:spacing w:before="320" w:after="120" w:line="320" w:lineRule="atLeast"/>
      <w:ind w:left="420" w:hanging="420"/>
      <w:textAlignment w:val="baseline"/>
    </w:pPr>
    <w:rPr>
      <w:kern w:val="28"/>
      <w:sz w:val="24"/>
      <w:szCs w:val="24"/>
      <w:lang w:eastAsia="en-US"/>
    </w:rPr>
  </w:style>
  <w:style w:type="paragraph" w:customStyle="1" w:styleId="IWATableFigureheading">
    <w:name w:val="(IWA) Table/Figure heading"/>
    <w:basedOn w:val="Normal"/>
    <w:link w:val="IWATableFigureheadingZchn"/>
    <w:rsid w:val="00C36899"/>
    <w:pPr>
      <w:keepNext/>
      <w:keepLines/>
      <w:widowControl w:val="0"/>
      <w:suppressLineNumbers/>
      <w:overflowPunct w:val="0"/>
      <w:autoSpaceDE w:val="0"/>
      <w:autoSpaceDN w:val="0"/>
      <w:adjustRightInd w:val="0"/>
      <w:spacing w:before="240" w:after="120" w:line="200" w:lineRule="exact"/>
      <w:jc w:val="both"/>
      <w:textAlignment w:val="baseline"/>
    </w:pPr>
    <w:rPr>
      <w:rFonts w:ascii="Arial" w:hAnsi="Arial"/>
      <w:bCs/>
      <w:sz w:val="18"/>
      <w:szCs w:val="20"/>
      <w:lang w:eastAsia="en-US"/>
    </w:rPr>
  </w:style>
  <w:style w:type="character" w:customStyle="1" w:styleId="IWATableFigureheadingZchn">
    <w:name w:val="(IWA) Table/Figure heading Zchn"/>
    <w:link w:val="IWATableFigureheading"/>
    <w:rsid w:val="00C36899"/>
    <w:rPr>
      <w:rFonts w:ascii="Arial" w:hAnsi="Arial"/>
      <w:bCs/>
      <w:sz w:val="18"/>
      <w:lang w:val="en-GB" w:eastAsia="en-US" w:bidi="ar-SA"/>
    </w:rPr>
  </w:style>
  <w:style w:type="paragraph" w:styleId="Header">
    <w:name w:val="header"/>
    <w:basedOn w:val="Normal"/>
    <w:link w:val="HeaderChar"/>
    <w:rsid w:val="00C02F76"/>
    <w:pPr>
      <w:tabs>
        <w:tab w:val="center" w:pos="4703"/>
        <w:tab w:val="right" w:pos="9406"/>
      </w:tabs>
    </w:pPr>
  </w:style>
  <w:style w:type="character" w:customStyle="1" w:styleId="HeaderChar">
    <w:name w:val="Header Char"/>
    <w:link w:val="Header"/>
    <w:rsid w:val="00C02F76"/>
    <w:rPr>
      <w:sz w:val="24"/>
      <w:szCs w:val="24"/>
      <w:lang w:val="en-GB" w:eastAsia="de-DE"/>
    </w:rPr>
  </w:style>
  <w:style w:type="paragraph" w:styleId="Footer">
    <w:name w:val="footer"/>
    <w:basedOn w:val="Normal"/>
    <w:link w:val="FooterChar"/>
    <w:rsid w:val="00C02F76"/>
    <w:pPr>
      <w:tabs>
        <w:tab w:val="center" w:pos="4703"/>
        <w:tab w:val="right" w:pos="9406"/>
      </w:tabs>
    </w:pPr>
  </w:style>
  <w:style w:type="character" w:customStyle="1" w:styleId="FooterChar">
    <w:name w:val="Footer Char"/>
    <w:link w:val="Footer"/>
    <w:rsid w:val="00C02F76"/>
    <w:rPr>
      <w:sz w:val="24"/>
      <w:szCs w:val="24"/>
      <w:lang w:val="en-GB" w:eastAsia="de-DE"/>
    </w:rPr>
  </w:style>
  <w:style w:type="table" w:styleId="TableGrid">
    <w:name w:val="Table Grid"/>
    <w:basedOn w:val="TableNormal"/>
    <w:uiPriority w:val="59"/>
    <w:rsid w:val="007676E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uiPriority w:val="99"/>
    <w:rsid w:val="00615B97"/>
    <w:pPr>
      <w:tabs>
        <w:tab w:val="left" w:pos="288"/>
      </w:tabs>
      <w:spacing w:after="120" w:line="228" w:lineRule="auto"/>
      <w:ind w:firstLine="288"/>
      <w:jc w:val="both"/>
    </w:pPr>
    <w:rPr>
      <w:sz w:val="20"/>
      <w:szCs w:val="20"/>
      <w:lang w:val="en-US" w:eastAsia="en-US"/>
    </w:rPr>
  </w:style>
  <w:style w:type="character" w:customStyle="1" w:styleId="BodyTextChar">
    <w:name w:val="Body Text Char"/>
    <w:basedOn w:val="DefaultParagraphFont"/>
    <w:link w:val="BodyText"/>
    <w:uiPriority w:val="99"/>
    <w:rsid w:val="00615B97"/>
  </w:style>
  <w:style w:type="paragraph" w:customStyle="1" w:styleId="figurecaption">
    <w:name w:val="figure caption"/>
    <w:rsid w:val="00615B97"/>
    <w:pPr>
      <w:numPr>
        <w:numId w:val="4"/>
      </w:numPr>
      <w:tabs>
        <w:tab w:val="left" w:pos="533"/>
      </w:tabs>
      <w:spacing w:before="80" w:after="200"/>
      <w:ind w:left="0" w:firstLine="0"/>
      <w:jc w:val="both"/>
    </w:pPr>
    <w:rPr>
      <w:rFonts w:eastAsia="Times New Roman"/>
      <w:noProof/>
      <w:sz w:val="16"/>
      <w:szCs w:val="16"/>
    </w:rPr>
  </w:style>
  <w:style w:type="character" w:customStyle="1" w:styleId="Heading2Char">
    <w:name w:val="Heading 2 Char"/>
    <w:basedOn w:val="DefaultParagraphFont"/>
    <w:link w:val="Heading2"/>
    <w:semiHidden/>
    <w:rsid w:val="00615B97"/>
    <w:rPr>
      <w:rFonts w:asciiTheme="majorHAnsi" w:eastAsiaTheme="majorEastAsia" w:hAnsiTheme="majorHAnsi" w:cstheme="majorBidi"/>
      <w:b/>
      <w:bCs/>
      <w:i/>
      <w:iCs/>
      <w:sz w:val="28"/>
      <w:szCs w:val="28"/>
      <w:lang w:val="en-GB" w:eastAsia="de-DE"/>
    </w:rPr>
  </w:style>
  <w:style w:type="paragraph" w:customStyle="1" w:styleId="tablehead">
    <w:name w:val="table head"/>
    <w:uiPriority w:val="99"/>
    <w:rsid w:val="00615B97"/>
    <w:pPr>
      <w:numPr>
        <w:numId w:val="5"/>
      </w:numPr>
      <w:spacing w:before="240" w:after="120" w:line="216" w:lineRule="auto"/>
      <w:jc w:val="center"/>
    </w:pPr>
    <w:rPr>
      <w:rFonts w:eastAsia="Times New Roman"/>
      <w:smallCaps/>
      <w:noProof/>
      <w:sz w:val="16"/>
      <w:szCs w:val="16"/>
    </w:rPr>
  </w:style>
  <w:style w:type="paragraph" w:styleId="NormalWeb">
    <w:name w:val="Normal (Web)"/>
    <w:basedOn w:val="Normal"/>
    <w:uiPriority w:val="99"/>
    <w:unhideWhenUsed/>
    <w:rsid w:val="00615B97"/>
    <w:pPr>
      <w:spacing w:before="100" w:beforeAutospacing="1" w:after="100" w:afterAutospacing="1"/>
    </w:pPr>
    <w:rPr>
      <w:rFonts w:eastAsia="Times New Roman"/>
      <w:lang w:val="en-US" w:eastAsia="en-US"/>
    </w:rPr>
  </w:style>
  <w:style w:type="paragraph" w:customStyle="1" w:styleId="references">
    <w:name w:val="references"/>
    <w:uiPriority w:val="99"/>
    <w:rsid w:val="00C20D1F"/>
    <w:pPr>
      <w:numPr>
        <w:numId w:val="6"/>
      </w:numPr>
      <w:spacing w:after="50" w:line="180" w:lineRule="exact"/>
      <w:jc w:val="both"/>
    </w:pPr>
    <w:rPr>
      <w:rFonts w:eastAsia="Times New Roman"/>
      <w:noProof/>
      <w:sz w:val="16"/>
      <w:szCs w:val="16"/>
    </w:rPr>
  </w:style>
</w:styles>
</file>

<file path=word/webSettings.xml><?xml version="1.0" encoding="utf-8"?>
<w:webSettings xmlns:r="http://schemas.openxmlformats.org/officeDocument/2006/relationships" xmlns:w="http://schemas.openxmlformats.org/wordprocessingml/2006/main">
  <w:divs>
    <w:div w:id="178168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65FB23-8EAE-C645-A218-163A9DAFC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This is a sample title for an outline paper submitted to LET 2012</vt:lpstr>
    </vt:vector>
  </TitlesOfParts>
  <Company>The International Water Association</Company>
  <LinksUpToDate>false</LinksUpToDate>
  <CharactersWithSpaces>8572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 sample title for an outline paper submitted to LET 2012</dc:title>
  <dc:creator>elizabethb</dc:creator>
  <cp:lastModifiedBy>Lenovo</cp:lastModifiedBy>
  <cp:revision>2</cp:revision>
  <cp:lastPrinted>2017-05-11T07:57:00Z</cp:lastPrinted>
  <dcterms:created xsi:type="dcterms:W3CDTF">2017-06-12T23:08:00Z</dcterms:created>
  <dcterms:modified xsi:type="dcterms:W3CDTF">2017-06-12T23:08:00Z</dcterms:modified>
</cp:coreProperties>
</file>