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33" w:rsidRPr="00570E1D" w:rsidRDefault="003E0519" w:rsidP="00570E1D">
      <w:pPr>
        <w:spacing w:before="40" w:afterLines="40" w:after="96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STUDY ON SOME FACTORS AFFECTING TO</w:t>
      </w:r>
      <w:r w:rsidR="007B6C33" w:rsidRPr="00570E1D">
        <w:rPr>
          <w:rFonts w:ascii="Times New Roman" w:hAnsi="Times New Roman" w:cs="Times New Roman"/>
          <w:b/>
          <w:sz w:val="26"/>
          <w:szCs w:val="26"/>
        </w:rPr>
        <w:t xml:space="preserve"> COD REMOVAL EFFICIENCY IN LEACHATE BY ELECTROCOAGULATION</w:t>
      </w:r>
    </w:p>
    <w:p w:rsidR="007B6C33" w:rsidRPr="00EA22EF" w:rsidRDefault="007B6C33" w:rsidP="00EA22EF">
      <w:pPr>
        <w:spacing w:before="40" w:after="40" w:line="276" w:lineRule="auto"/>
        <w:jc w:val="center"/>
        <w:rPr>
          <w:rFonts w:ascii="Times New Roman" w:hAnsi="Times New Roman" w:cs="Times New Roman"/>
          <w:b/>
          <w:spacing w:val="-4"/>
          <w:vertAlign w:val="superscript"/>
        </w:rPr>
      </w:pPr>
      <w:r w:rsidRPr="00EA22EF">
        <w:rPr>
          <w:rFonts w:ascii="Times New Roman" w:hAnsi="Times New Roman" w:cs="Times New Roman"/>
          <w:b/>
          <w:spacing w:val="-4"/>
        </w:rPr>
        <w:t>Le Thanh Son</w:t>
      </w:r>
      <w:r w:rsidRPr="00EA22EF">
        <w:rPr>
          <w:rFonts w:ascii="Times New Roman" w:hAnsi="Times New Roman" w:cs="Times New Roman"/>
          <w:b/>
          <w:spacing w:val="-4"/>
          <w:vertAlign w:val="superscript"/>
        </w:rPr>
        <w:t>1*</w:t>
      </w:r>
      <w:r w:rsidRPr="00EA22EF">
        <w:rPr>
          <w:rFonts w:ascii="Times New Roman" w:hAnsi="Times New Roman" w:cs="Times New Roman"/>
          <w:b/>
          <w:spacing w:val="-4"/>
        </w:rPr>
        <w:t xml:space="preserve">, </w:t>
      </w:r>
      <w:r w:rsidR="007417D0" w:rsidRPr="00EA22EF">
        <w:rPr>
          <w:rFonts w:ascii="Times New Roman" w:hAnsi="Times New Roman" w:cs="Times New Roman"/>
          <w:b/>
          <w:spacing w:val="-4"/>
        </w:rPr>
        <w:t>Trinh Van Tuyen</w:t>
      </w:r>
      <w:r w:rsidR="007417D0" w:rsidRPr="00EA22EF">
        <w:rPr>
          <w:rFonts w:ascii="Times New Roman" w:hAnsi="Times New Roman" w:cs="Times New Roman"/>
          <w:b/>
          <w:spacing w:val="-4"/>
          <w:vertAlign w:val="superscript"/>
        </w:rPr>
        <w:t>1</w:t>
      </w:r>
      <w:r w:rsidR="007417D0" w:rsidRPr="00EA22EF">
        <w:rPr>
          <w:rFonts w:ascii="Times New Roman" w:hAnsi="Times New Roman" w:cs="Times New Roman"/>
          <w:b/>
          <w:spacing w:val="-4"/>
        </w:rPr>
        <w:t xml:space="preserve">, </w:t>
      </w:r>
      <w:r w:rsidRPr="00EA22EF">
        <w:rPr>
          <w:rFonts w:ascii="Times New Roman" w:hAnsi="Times New Roman" w:cs="Times New Roman"/>
          <w:b/>
          <w:spacing w:val="-4"/>
        </w:rPr>
        <w:t>Le Cao Khai</w:t>
      </w:r>
      <w:r w:rsidRPr="00EA22EF">
        <w:rPr>
          <w:rFonts w:ascii="Times New Roman" w:hAnsi="Times New Roman" w:cs="Times New Roman"/>
          <w:b/>
          <w:spacing w:val="-4"/>
          <w:vertAlign w:val="superscript"/>
        </w:rPr>
        <w:t>2</w:t>
      </w:r>
      <w:r w:rsidRPr="00EA22EF">
        <w:rPr>
          <w:rFonts w:ascii="Times New Roman" w:hAnsi="Times New Roman" w:cs="Times New Roman"/>
          <w:b/>
          <w:spacing w:val="-4"/>
        </w:rPr>
        <w:t>, Doan Tuan Linh</w:t>
      </w:r>
      <w:r w:rsidRPr="00EA22EF">
        <w:rPr>
          <w:rFonts w:ascii="Times New Roman" w:hAnsi="Times New Roman" w:cs="Times New Roman"/>
          <w:b/>
          <w:spacing w:val="-4"/>
          <w:vertAlign w:val="superscript"/>
        </w:rPr>
        <w:t>1</w:t>
      </w:r>
      <w:r w:rsidRPr="00EA22EF">
        <w:rPr>
          <w:rFonts w:ascii="Times New Roman" w:hAnsi="Times New Roman" w:cs="Times New Roman"/>
          <w:b/>
          <w:spacing w:val="-4"/>
        </w:rPr>
        <w:t>, Doan Thi Anh</w:t>
      </w:r>
      <w:r w:rsidRPr="00EA22EF">
        <w:rPr>
          <w:rFonts w:ascii="Times New Roman" w:hAnsi="Times New Roman" w:cs="Times New Roman"/>
          <w:b/>
          <w:spacing w:val="-4"/>
          <w:vertAlign w:val="superscript"/>
        </w:rPr>
        <w:t>1</w:t>
      </w:r>
    </w:p>
    <w:p w:rsidR="007B6C33" w:rsidRPr="00570E1D" w:rsidRDefault="007B6C33" w:rsidP="00C76260">
      <w:pPr>
        <w:spacing w:before="40" w:after="40" w:line="276" w:lineRule="auto"/>
        <w:jc w:val="center"/>
        <w:rPr>
          <w:rFonts w:ascii="Times New Roman" w:hAnsi="Times New Roman" w:cs="Times New Roman"/>
          <w:i/>
        </w:rPr>
      </w:pPr>
      <w:r w:rsidRPr="00570E1D">
        <w:rPr>
          <w:rFonts w:ascii="Times New Roman" w:hAnsi="Times New Roman" w:cs="Times New Roman"/>
          <w:i/>
          <w:vertAlign w:val="superscript"/>
        </w:rPr>
        <w:t>1</w:t>
      </w:r>
      <w:r w:rsidRPr="00570E1D">
        <w:rPr>
          <w:rFonts w:ascii="Times New Roman" w:hAnsi="Times New Roman" w:cs="Times New Roman"/>
          <w:i/>
        </w:rPr>
        <w:t>Institute of Environmental Technology, Vietnam Academy of Science and Technology, Building A30, 18 Hoang Quoc Viet, Cau Giay, Ha Noi</w:t>
      </w:r>
    </w:p>
    <w:p w:rsidR="007B6C33" w:rsidRPr="00570E1D" w:rsidRDefault="007B6C33" w:rsidP="00EA22EF">
      <w:pPr>
        <w:spacing w:before="40" w:after="40" w:line="276" w:lineRule="auto"/>
        <w:jc w:val="center"/>
        <w:rPr>
          <w:rFonts w:ascii="Times New Roman" w:hAnsi="Times New Roman" w:cs="Times New Roman"/>
          <w:i/>
        </w:rPr>
      </w:pPr>
      <w:r w:rsidRPr="00570E1D">
        <w:rPr>
          <w:rFonts w:ascii="Times New Roman" w:hAnsi="Times New Roman" w:cs="Times New Roman"/>
          <w:i/>
          <w:vertAlign w:val="superscript"/>
        </w:rPr>
        <w:t>2</w:t>
      </w:r>
      <w:r w:rsidRPr="00570E1D">
        <w:rPr>
          <w:rFonts w:ascii="Times New Roman" w:hAnsi="Times New Roman" w:cs="Times New Roman"/>
          <w:i/>
        </w:rPr>
        <w:t>Faculty of Chemistry, Hanoi Pedagogical University N</w:t>
      </w:r>
      <w:r w:rsidRPr="00570E1D">
        <w:rPr>
          <w:rFonts w:ascii="Times New Roman" w:hAnsi="Times New Roman" w:cs="Times New Roman"/>
          <w:i/>
          <w:vertAlign w:val="superscript"/>
        </w:rPr>
        <w:t>o</w:t>
      </w:r>
      <w:r w:rsidRPr="00570E1D">
        <w:rPr>
          <w:rFonts w:ascii="Times New Roman" w:hAnsi="Times New Roman" w:cs="Times New Roman"/>
          <w:i/>
        </w:rPr>
        <w:t>2</w:t>
      </w:r>
      <w:bookmarkStart w:id="0" w:name="_GoBack"/>
      <w:bookmarkEnd w:id="0"/>
    </w:p>
    <w:p w:rsidR="007B6C33" w:rsidRPr="00570E1D" w:rsidRDefault="007B6C33" w:rsidP="00570E1D">
      <w:pPr>
        <w:spacing w:before="40" w:afterLines="40" w:after="96" w:line="276" w:lineRule="auto"/>
        <w:jc w:val="center"/>
        <w:rPr>
          <w:rFonts w:ascii="Times New Roman" w:hAnsi="Times New Roman" w:cs="Times New Roman"/>
          <w:i/>
        </w:rPr>
      </w:pPr>
      <w:r w:rsidRPr="00570E1D">
        <w:rPr>
          <w:rFonts w:ascii="Times New Roman" w:hAnsi="Times New Roman" w:cs="Times New Roman"/>
        </w:rPr>
        <w:t xml:space="preserve">*Email: </w:t>
      </w:r>
      <w:r w:rsidRPr="00570E1D">
        <w:rPr>
          <w:rFonts w:ascii="Times New Roman" w:hAnsi="Times New Roman" w:cs="Times New Roman"/>
          <w:i/>
        </w:rPr>
        <w:t>thanhson96.le@gmail.com</w:t>
      </w:r>
    </w:p>
    <w:p w:rsidR="007B6C33" w:rsidRPr="00570E1D" w:rsidRDefault="008215CF" w:rsidP="00570E1D">
      <w:pPr>
        <w:spacing w:before="40" w:afterLines="40" w:after="96" w:line="276" w:lineRule="auto"/>
        <w:jc w:val="both"/>
        <w:rPr>
          <w:rFonts w:ascii="Times New Roman" w:hAnsi="Times New Roman" w:cs="Times New Roman"/>
          <w:b/>
        </w:rPr>
      </w:pPr>
      <w:r w:rsidRPr="00570E1D">
        <w:rPr>
          <w:rFonts w:ascii="Times New Roman" w:hAnsi="Times New Roman" w:cs="Times New Roman"/>
          <w:b/>
        </w:rPr>
        <w:t>Abstract:</w:t>
      </w:r>
    </w:p>
    <w:p w:rsidR="007B6C33" w:rsidRPr="00570E1D" w:rsidRDefault="007B6C33" w:rsidP="00A35E05">
      <w:pPr>
        <w:spacing w:before="40" w:afterLines="40" w:after="96" w:line="276" w:lineRule="auto"/>
        <w:ind w:firstLine="567"/>
        <w:jc w:val="both"/>
        <w:rPr>
          <w:rFonts w:ascii="Times New Roman" w:hAnsi="Times New Roman" w:cs="Times New Roman"/>
        </w:rPr>
      </w:pPr>
      <w:r w:rsidRPr="00570E1D">
        <w:rPr>
          <w:rFonts w:ascii="Times New Roman" w:hAnsi="Times New Roman" w:cs="Times New Roman"/>
        </w:rPr>
        <w:t>Landfilling is one of the most popular methods of municipal solid waste disposal</w:t>
      </w:r>
      <w:r w:rsidR="00DD48A5" w:rsidRPr="00570E1D">
        <w:rPr>
          <w:rFonts w:ascii="Times New Roman" w:hAnsi="Times New Roman" w:cs="Times New Roman"/>
        </w:rPr>
        <w:t>, however</w:t>
      </w:r>
      <w:r w:rsidRPr="00570E1D">
        <w:rPr>
          <w:rFonts w:ascii="Times New Roman" w:hAnsi="Times New Roman" w:cs="Times New Roman"/>
        </w:rPr>
        <w:t xml:space="preserve"> leachate from landfill </w:t>
      </w:r>
      <w:r w:rsidR="00DD2DFB">
        <w:rPr>
          <w:rFonts w:ascii="Times New Roman" w:hAnsi="Times New Roman" w:cs="Times New Roman"/>
        </w:rPr>
        <w:t xml:space="preserve">has </w:t>
      </w:r>
      <w:r w:rsidR="00DD48A5" w:rsidRPr="00570E1D">
        <w:rPr>
          <w:rFonts w:ascii="Times New Roman" w:hAnsi="Times New Roman" w:cs="Times New Roman"/>
        </w:rPr>
        <w:t xml:space="preserve">become an </w:t>
      </w:r>
      <w:r w:rsidR="00DD2DFB">
        <w:rPr>
          <w:rFonts w:ascii="Times New Roman" w:hAnsi="Times New Roman" w:cs="Times New Roman"/>
        </w:rPr>
        <w:t xml:space="preserve">enormous challenge for landfill </w:t>
      </w:r>
      <w:r w:rsidR="00DD48A5" w:rsidRPr="00570E1D">
        <w:rPr>
          <w:rFonts w:ascii="Times New Roman" w:hAnsi="Times New Roman" w:cs="Times New Roman"/>
        </w:rPr>
        <w:t xml:space="preserve">managements </w:t>
      </w:r>
      <w:r w:rsidR="00DD2DFB">
        <w:rPr>
          <w:rFonts w:ascii="Times New Roman" w:hAnsi="Times New Roman" w:cs="Times New Roman"/>
        </w:rPr>
        <w:t>and leachate treatment technologies</w:t>
      </w:r>
      <w:r w:rsidR="00DD48A5" w:rsidRPr="00570E1D">
        <w:rPr>
          <w:rFonts w:ascii="Times New Roman" w:hAnsi="Times New Roman" w:cs="Times New Roman"/>
        </w:rPr>
        <w:t xml:space="preserve">. </w:t>
      </w:r>
      <w:r w:rsidR="00AA60EF" w:rsidRPr="00570E1D">
        <w:rPr>
          <w:rFonts w:ascii="Times New Roman" w:hAnsi="Times New Roman" w:cs="Times New Roman"/>
        </w:rPr>
        <w:t xml:space="preserve">This research proposed and investigated the Nam Son landfill leachate treatment performance by electrocoagulation method. </w:t>
      </w:r>
      <w:r w:rsidR="00175E98" w:rsidRPr="00570E1D">
        <w:rPr>
          <w:rFonts w:ascii="Times New Roman" w:eastAsia="AdvGulliv-R" w:hAnsi="Times New Roman" w:cs="Times New Roman"/>
        </w:rPr>
        <w:t>A mono-polar electrocoagulation</w:t>
      </w:r>
      <w:r w:rsidR="00175E98" w:rsidRPr="00570E1D">
        <w:rPr>
          <w:rFonts w:ascii="Times New Roman" w:hAnsi="Times New Roman" w:cs="Times New Roman"/>
        </w:rPr>
        <w:t xml:space="preserve"> unit was set up in a batch system with iron electrodes and approximately 1.8 litter of leachate. </w:t>
      </w:r>
      <w:r w:rsidR="00AA60EF" w:rsidRPr="00570E1D">
        <w:rPr>
          <w:rFonts w:ascii="Times New Roman" w:hAnsi="Times New Roman" w:cs="Times New Roman"/>
        </w:rPr>
        <w:t>The effects of factors namely current intensity, electrolysis time, initial pH, anode materials and inter-electrode distance</w:t>
      </w:r>
      <w:r w:rsidR="007417D0" w:rsidRPr="00570E1D">
        <w:rPr>
          <w:rFonts w:ascii="Times New Roman" w:hAnsi="Times New Roman" w:cs="Times New Roman"/>
        </w:rPr>
        <w:t xml:space="preserve"> on </w:t>
      </w:r>
      <w:r w:rsidR="00DD2DFB" w:rsidRPr="00570E1D">
        <w:rPr>
          <w:rFonts w:ascii="Times New Roman" w:hAnsi="Times New Roman" w:cs="Times New Roman"/>
        </w:rPr>
        <w:t>chemical oxygen demand (COD) removal efficiencies</w:t>
      </w:r>
      <w:r w:rsidR="00DD2DFB" w:rsidRPr="00570E1D">
        <w:rPr>
          <w:rFonts w:ascii="Times New Roman" w:hAnsi="Times New Roman" w:cs="Times New Roman"/>
        </w:rPr>
        <w:t xml:space="preserve"> </w:t>
      </w:r>
      <w:r w:rsidR="00DD2DFB">
        <w:rPr>
          <w:rFonts w:ascii="Times New Roman" w:hAnsi="Times New Roman" w:cs="Times New Roman"/>
        </w:rPr>
        <w:t>were studied</w:t>
      </w:r>
      <w:r w:rsidR="00AA60EF" w:rsidRPr="00570E1D">
        <w:rPr>
          <w:rFonts w:ascii="Times New Roman" w:hAnsi="Times New Roman" w:cs="Times New Roman"/>
        </w:rPr>
        <w:t>. The result</w:t>
      </w:r>
      <w:r w:rsidR="00DD2DFB">
        <w:rPr>
          <w:rFonts w:ascii="Times New Roman" w:hAnsi="Times New Roman" w:cs="Times New Roman"/>
        </w:rPr>
        <w:t>s</w:t>
      </w:r>
      <w:r w:rsidR="00AA60EF" w:rsidRPr="00570E1D">
        <w:rPr>
          <w:rFonts w:ascii="Times New Roman" w:hAnsi="Times New Roman" w:cs="Times New Roman"/>
        </w:rPr>
        <w:t xml:space="preserve"> showed that the optimum operating conditions were current intensity of 3A, electrolysis time of 40 min, the raw pH</w:t>
      </w:r>
      <w:r w:rsidR="00175E98" w:rsidRPr="00570E1D">
        <w:rPr>
          <w:rFonts w:ascii="Times New Roman" w:hAnsi="Times New Roman" w:cs="Times New Roman"/>
        </w:rPr>
        <w:t xml:space="preserve"> (pH =8)</w:t>
      </w:r>
      <w:r w:rsidR="00AA60EF" w:rsidRPr="00570E1D">
        <w:rPr>
          <w:rFonts w:ascii="Times New Roman" w:hAnsi="Times New Roman" w:cs="Times New Roman"/>
        </w:rPr>
        <w:t xml:space="preserve">, </w:t>
      </w:r>
      <w:r w:rsidR="00175E98" w:rsidRPr="00570E1D">
        <w:rPr>
          <w:rFonts w:ascii="Times New Roman" w:hAnsi="Times New Roman" w:cs="Times New Roman"/>
        </w:rPr>
        <w:t xml:space="preserve">iron electrodes and inter-electrode distance of 1 cm.  </w:t>
      </w:r>
      <w:r w:rsidR="007417D0" w:rsidRPr="00570E1D">
        <w:rPr>
          <w:rFonts w:ascii="Times New Roman" w:hAnsi="Times New Roman" w:cs="Times New Roman"/>
        </w:rPr>
        <w:t xml:space="preserve">At the above conditions, with the initial COD concentration of 6247 </w:t>
      </w:r>
      <w:r w:rsidR="007417D0" w:rsidRPr="00570E1D">
        <w:rPr>
          <w:rFonts w:ascii="Times New Roman" w:eastAsia="Batang" w:hAnsi="Times New Roman" w:cs="Times New Roman"/>
        </w:rPr>
        <w:t>±</w:t>
      </w:r>
      <w:r w:rsidR="007417D0" w:rsidRPr="00570E1D">
        <w:rPr>
          <w:rFonts w:ascii="Times New Roman" w:hAnsi="Times New Roman" w:cs="Times New Roman"/>
        </w:rPr>
        <w:t xml:space="preserve"> 295 mg/l, about 73.21% COD was removed after electrocoagulation.</w:t>
      </w:r>
    </w:p>
    <w:p w:rsidR="00175E98" w:rsidRPr="00DD2DFB" w:rsidRDefault="008215CF" w:rsidP="00570E1D">
      <w:pPr>
        <w:spacing w:before="40" w:afterLines="40" w:after="96" w:line="276" w:lineRule="auto"/>
        <w:jc w:val="both"/>
        <w:rPr>
          <w:rFonts w:ascii="Times New Roman" w:hAnsi="Times New Roman" w:cs="Times New Roman"/>
          <w:spacing w:val="-4"/>
        </w:rPr>
      </w:pPr>
      <w:r w:rsidRPr="00570E1D">
        <w:rPr>
          <w:rFonts w:ascii="Times New Roman" w:hAnsi="Times New Roman" w:cs="Times New Roman"/>
          <w:b/>
        </w:rPr>
        <w:t>Keywords</w:t>
      </w:r>
      <w:r w:rsidR="00175E98" w:rsidRPr="00570E1D">
        <w:rPr>
          <w:rFonts w:ascii="Times New Roman" w:hAnsi="Times New Roman" w:cs="Times New Roman"/>
        </w:rPr>
        <w:t>:</w:t>
      </w:r>
      <w:r w:rsidR="00175E98" w:rsidRPr="00DD2DFB">
        <w:rPr>
          <w:rFonts w:ascii="Times New Roman" w:hAnsi="Times New Roman" w:cs="Times New Roman"/>
          <w:spacing w:val="-6"/>
        </w:rPr>
        <w:t xml:space="preserve"> </w:t>
      </w:r>
      <w:r w:rsidR="00175E98" w:rsidRPr="00DD2DFB">
        <w:rPr>
          <w:rFonts w:ascii="Times New Roman" w:hAnsi="Times New Roman" w:cs="Times New Roman"/>
          <w:spacing w:val="-4"/>
        </w:rPr>
        <w:t>landfill leachate, electrocoagulation, COD removal efficiency, iron electrodes.</w:t>
      </w:r>
    </w:p>
    <w:p w:rsidR="008215CF" w:rsidRPr="00570E1D" w:rsidRDefault="008215CF" w:rsidP="00570E1D">
      <w:pPr>
        <w:pStyle w:val="ListParagraph"/>
        <w:numPr>
          <w:ilvl w:val="0"/>
          <w:numId w:val="1"/>
        </w:numPr>
        <w:spacing w:before="40" w:afterLines="40" w:after="96" w:line="276" w:lineRule="auto"/>
        <w:jc w:val="both"/>
        <w:rPr>
          <w:rFonts w:ascii="Times New Roman" w:hAnsi="Times New Roman" w:cs="Times New Roman"/>
          <w:b/>
        </w:rPr>
      </w:pPr>
      <w:r w:rsidRPr="00570E1D">
        <w:rPr>
          <w:rFonts w:ascii="Times New Roman" w:hAnsi="Times New Roman" w:cs="Times New Roman"/>
          <w:b/>
        </w:rPr>
        <w:t>Introduction</w:t>
      </w:r>
    </w:p>
    <w:p w:rsidR="008215CF" w:rsidRPr="00570E1D" w:rsidRDefault="00CC3C30" w:rsidP="00A35E05">
      <w:pPr>
        <w:spacing w:before="40" w:afterLines="40" w:after="96" w:line="276" w:lineRule="auto"/>
        <w:ind w:firstLine="567"/>
        <w:jc w:val="both"/>
        <w:rPr>
          <w:rFonts w:ascii="Times New Roman" w:hAnsi="Times New Roman" w:cs="Times New Roman"/>
        </w:rPr>
      </w:pPr>
      <w:r w:rsidRPr="00570E1D">
        <w:rPr>
          <w:rFonts w:ascii="Times New Roman" w:hAnsi="Times New Roman" w:cs="Times New Roman"/>
        </w:rPr>
        <w:t>Landfilling is one of the most popular methods of municipal solid waste disposal because of its relati</w:t>
      </w:r>
      <w:r w:rsidR="003D6191">
        <w:rPr>
          <w:rFonts w:ascii="Times New Roman" w:hAnsi="Times New Roman" w:cs="Times New Roman"/>
        </w:rPr>
        <w:t>ve simplicity and low cost</w:t>
      </w:r>
      <w:r w:rsidR="008215CF" w:rsidRPr="00570E1D">
        <w:rPr>
          <w:rFonts w:ascii="Times New Roman" w:hAnsi="Times New Roman" w:cs="Times New Roman"/>
        </w:rPr>
        <w:t xml:space="preserve">. </w:t>
      </w:r>
      <w:r w:rsidRPr="00570E1D">
        <w:rPr>
          <w:rFonts w:ascii="Times New Roman" w:hAnsi="Times New Roman" w:cs="Times New Roman"/>
        </w:rPr>
        <w:t xml:space="preserve">Conventional leachate treatment methods, such as air stripping, coagulation, flocculation and settling, are often costly in terms of initial outlay of plant equipment, energy requirements </w:t>
      </w:r>
      <w:r w:rsidR="00BF2240">
        <w:rPr>
          <w:rFonts w:ascii="Times New Roman" w:hAnsi="Times New Roman" w:cs="Times New Roman"/>
        </w:rPr>
        <w:t>additional chemicals</w:t>
      </w:r>
      <w:r w:rsidR="008215CF" w:rsidRPr="00570E1D">
        <w:rPr>
          <w:rFonts w:ascii="Times New Roman" w:hAnsi="Times New Roman" w:cs="Times New Roman"/>
        </w:rPr>
        <w:t xml:space="preserve">. </w:t>
      </w:r>
      <w:r w:rsidR="00C76260">
        <w:rPr>
          <w:rFonts w:ascii="Times New Roman" w:hAnsi="Times New Roman" w:cs="Times New Roman"/>
        </w:rPr>
        <w:t>Hence</w:t>
      </w:r>
      <w:r w:rsidR="008215CF" w:rsidRPr="00570E1D">
        <w:rPr>
          <w:rFonts w:ascii="Times New Roman" w:hAnsi="Times New Roman" w:cs="Times New Roman"/>
        </w:rPr>
        <w:t xml:space="preserve">, some effective and economical methods </w:t>
      </w:r>
      <w:r w:rsidR="00C76260">
        <w:rPr>
          <w:rFonts w:ascii="Times New Roman" w:hAnsi="Times New Roman" w:cs="Times New Roman"/>
        </w:rPr>
        <w:t>has</w:t>
      </w:r>
      <w:r w:rsidR="008215CF" w:rsidRPr="00570E1D">
        <w:rPr>
          <w:rFonts w:ascii="Times New Roman" w:hAnsi="Times New Roman" w:cs="Times New Roman"/>
        </w:rPr>
        <w:t xml:space="preserve"> developed to solve these problem</w:t>
      </w:r>
      <w:r w:rsidR="00C76260">
        <w:rPr>
          <w:rFonts w:ascii="Times New Roman" w:hAnsi="Times New Roman" w:cs="Times New Roman"/>
        </w:rPr>
        <w:t>s</w:t>
      </w:r>
      <w:r w:rsidR="008215CF" w:rsidRPr="00570E1D">
        <w:rPr>
          <w:rFonts w:ascii="Times New Roman" w:hAnsi="Times New Roman" w:cs="Times New Roman"/>
        </w:rPr>
        <w:t xml:space="preserve">. One of the simple, effective and economic-efficient is electrocoagulation (EC) which is successful electrochemical methods for many kinds of </w:t>
      </w:r>
      <w:r w:rsidR="00C76260">
        <w:rPr>
          <w:rFonts w:ascii="Times New Roman" w:hAnsi="Times New Roman" w:cs="Times New Roman"/>
        </w:rPr>
        <w:t xml:space="preserve">wastewater treatment </w:t>
      </w:r>
      <w:r w:rsidR="003D6191">
        <w:rPr>
          <w:rFonts w:ascii="Times New Roman" w:hAnsi="Times New Roman" w:cs="Times New Roman"/>
        </w:rPr>
        <w:t>[1</w:t>
      </w:r>
      <w:r w:rsidR="008215CF" w:rsidRPr="00570E1D">
        <w:rPr>
          <w:rFonts w:ascii="Times New Roman" w:hAnsi="Times New Roman" w:cs="Times New Roman"/>
        </w:rPr>
        <w:t xml:space="preserve">]. </w:t>
      </w:r>
      <w:r w:rsidR="00BF2240" w:rsidRPr="00BF2240">
        <w:rPr>
          <w:rFonts w:ascii="Times New Roman" w:hAnsi="Times New Roman" w:cs="Times New Roman"/>
        </w:rPr>
        <w:t xml:space="preserve">The purpose of this paper is to study the </w:t>
      </w:r>
      <w:r w:rsidR="00EA22EF">
        <w:rPr>
          <w:rFonts w:ascii="Times New Roman" w:hAnsi="Times New Roman" w:cs="Times New Roman"/>
        </w:rPr>
        <w:t xml:space="preserve">COD </w:t>
      </w:r>
      <w:r w:rsidR="00BF2240" w:rsidRPr="00BF2240">
        <w:rPr>
          <w:rFonts w:ascii="Times New Roman" w:hAnsi="Times New Roman" w:cs="Times New Roman"/>
        </w:rPr>
        <w:t xml:space="preserve">removal efficiency from leachate by </w:t>
      </w:r>
      <w:r w:rsidR="00C76260">
        <w:rPr>
          <w:rFonts w:ascii="Times New Roman" w:hAnsi="Times New Roman" w:cs="Times New Roman"/>
        </w:rPr>
        <w:t>EC.</w:t>
      </w:r>
    </w:p>
    <w:p w:rsidR="00B0240E" w:rsidRPr="00570E1D" w:rsidRDefault="008215CF" w:rsidP="00570E1D">
      <w:pPr>
        <w:pStyle w:val="ListParagraph"/>
        <w:numPr>
          <w:ilvl w:val="0"/>
          <w:numId w:val="1"/>
        </w:numPr>
        <w:spacing w:before="40" w:afterLines="40" w:after="96" w:line="276" w:lineRule="auto"/>
        <w:jc w:val="both"/>
        <w:rPr>
          <w:rFonts w:ascii="Times New Roman" w:hAnsi="Times New Roman" w:cs="Times New Roman"/>
          <w:b/>
        </w:rPr>
      </w:pPr>
      <w:r w:rsidRPr="00570E1D">
        <w:rPr>
          <w:rFonts w:ascii="Times New Roman" w:hAnsi="Times New Roman" w:cs="Times New Roman"/>
          <w:b/>
        </w:rPr>
        <w:t xml:space="preserve">Methods and Materials </w:t>
      </w:r>
    </w:p>
    <w:p w:rsidR="00B0240E" w:rsidRPr="00570E1D" w:rsidRDefault="00B0240E" w:rsidP="00570E1D">
      <w:pPr>
        <w:pStyle w:val="ListParagraph"/>
        <w:numPr>
          <w:ilvl w:val="1"/>
          <w:numId w:val="1"/>
        </w:numPr>
        <w:spacing w:before="40" w:afterLines="40" w:after="96" w:line="276" w:lineRule="auto"/>
        <w:jc w:val="both"/>
        <w:rPr>
          <w:rFonts w:ascii="Times New Roman" w:hAnsi="Times New Roman" w:cs="Times New Roman"/>
          <w:b/>
        </w:rPr>
      </w:pPr>
      <w:r w:rsidRPr="00570E1D">
        <w:rPr>
          <w:rFonts w:ascii="Times New Roman" w:hAnsi="Times New Roman" w:cs="Times New Roman"/>
          <w:b/>
        </w:rPr>
        <w:t xml:space="preserve"> Landfill leachate</w:t>
      </w:r>
    </w:p>
    <w:p w:rsidR="00B0240E" w:rsidRPr="004478E7" w:rsidRDefault="00BF2240" w:rsidP="00A35E05">
      <w:pPr>
        <w:spacing w:before="40" w:afterLines="40" w:after="96" w:line="276" w:lineRule="auto"/>
        <w:ind w:firstLine="567"/>
        <w:jc w:val="both"/>
        <w:rPr>
          <w:rFonts w:ascii="Times New Roman" w:hAnsi="Times New Roman" w:cs="Times New Roman"/>
          <w:spacing w:val="-10"/>
        </w:rPr>
      </w:pPr>
      <w:r w:rsidRPr="004478E7">
        <w:rPr>
          <w:rFonts w:ascii="Times New Roman" w:hAnsi="Times New Roman" w:cs="Times New Roman"/>
          <w:spacing w:val="-10"/>
        </w:rPr>
        <w:t>The leachate sample</w:t>
      </w:r>
      <w:r w:rsidR="00B0240E" w:rsidRPr="004478E7">
        <w:rPr>
          <w:rFonts w:ascii="Times New Roman" w:hAnsi="Times New Roman" w:cs="Times New Roman"/>
          <w:spacing w:val="-10"/>
        </w:rPr>
        <w:t xml:space="preserve"> taken from Nam Son landfill </w:t>
      </w:r>
      <w:r w:rsidRPr="004478E7">
        <w:rPr>
          <w:rFonts w:ascii="Times New Roman" w:hAnsi="Times New Roman" w:cs="Times New Roman"/>
          <w:spacing w:val="-10"/>
        </w:rPr>
        <w:t>with the</w:t>
      </w:r>
      <w:r w:rsidR="00B0240E" w:rsidRPr="004478E7">
        <w:rPr>
          <w:rFonts w:ascii="Times New Roman" w:hAnsi="Times New Roman" w:cs="Times New Roman"/>
          <w:spacing w:val="-10"/>
        </w:rPr>
        <w:t xml:space="preserve"> </w:t>
      </w:r>
      <w:r w:rsidRPr="004478E7">
        <w:rPr>
          <w:rFonts w:ascii="Times New Roman" w:hAnsi="Times New Roman" w:cs="Times New Roman"/>
          <w:spacing w:val="-10"/>
        </w:rPr>
        <w:t xml:space="preserve">properties was </w:t>
      </w:r>
      <w:r w:rsidR="00B0240E" w:rsidRPr="004478E7">
        <w:rPr>
          <w:rFonts w:ascii="Times New Roman" w:hAnsi="Times New Roman" w:cs="Times New Roman"/>
          <w:spacing w:val="-10"/>
        </w:rPr>
        <w:t>given in Table 1.</w:t>
      </w:r>
    </w:p>
    <w:p w:rsidR="00B0240E" w:rsidRPr="00570E1D" w:rsidRDefault="00B0240E" w:rsidP="00BF2240">
      <w:pPr>
        <w:pStyle w:val="Caption"/>
        <w:spacing w:before="40" w:afterLines="40" w:after="96" w:line="276" w:lineRule="auto"/>
        <w:ind w:firstLine="0"/>
        <w:jc w:val="center"/>
        <w:rPr>
          <w:i w:val="0"/>
          <w:color w:val="auto"/>
          <w:sz w:val="22"/>
          <w:szCs w:val="22"/>
        </w:rPr>
      </w:pPr>
      <w:r w:rsidRPr="00BF2240">
        <w:rPr>
          <w:b/>
          <w:i w:val="0"/>
          <w:color w:val="auto"/>
          <w:sz w:val="22"/>
          <w:szCs w:val="22"/>
        </w:rPr>
        <w:lastRenderedPageBreak/>
        <w:t xml:space="preserve">Table </w:t>
      </w:r>
      <w:r w:rsidRPr="00BF2240">
        <w:rPr>
          <w:b/>
          <w:i w:val="0"/>
          <w:color w:val="auto"/>
          <w:sz w:val="22"/>
          <w:szCs w:val="22"/>
        </w:rPr>
        <w:fldChar w:fldCharType="begin"/>
      </w:r>
      <w:r w:rsidRPr="00BF2240">
        <w:rPr>
          <w:b/>
          <w:i w:val="0"/>
          <w:color w:val="auto"/>
          <w:sz w:val="22"/>
          <w:szCs w:val="22"/>
        </w:rPr>
        <w:instrText xml:space="preserve"> SEQ Table \* ARABIC </w:instrText>
      </w:r>
      <w:r w:rsidRPr="00BF2240">
        <w:rPr>
          <w:b/>
          <w:i w:val="0"/>
          <w:color w:val="auto"/>
          <w:sz w:val="22"/>
          <w:szCs w:val="22"/>
        </w:rPr>
        <w:fldChar w:fldCharType="separate"/>
      </w:r>
      <w:r w:rsidRPr="00BF2240">
        <w:rPr>
          <w:b/>
          <w:i w:val="0"/>
          <w:noProof/>
          <w:color w:val="auto"/>
          <w:sz w:val="22"/>
          <w:szCs w:val="22"/>
        </w:rPr>
        <w:t>1</w:t>
      </w:r>
      <w:r w:rsidRPr="00BF2240">
        <w:rPr>
          <w:b/>
          <w:i w:val="0"/>
          <w:color w:val="auto"/>
          <w:sz w:val="22"/>
          <w:szCs w:val="22"/>
        </w:rPr>
        <w:fldChar w:fldCharType="end"/>
      </w:r>
      <w:r w:rsidRPr="00570E1D">
        <w:rPr>
          <w:color w:val="auto"/>
          <w:sz w:val="22"/>
          <w:szCs w:val="22"/>
        </w:rPr>
        <w:t xml:space="preserve">. </w:t>
      </w:r>
      <w:r w:rsidRPr="00570E1D">
        <w:rPr>
          <w:i w:val="0"/>
          <w:color w:val="auto"/>
          <w:sz w:val="22"/>
          <w:szCs w:val="22"/>
        </w:rPr>
        <w:t>The properties of leachate from Nam Son landfill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1701"/>
        <w:gridCol w:w="1559"/>
        <w:gridCol w:w="1276"/>
        <w:gridCol w:w="850"/>
      </w:tblGrid>
      <w:tr w:rsidR="00570E1D" w:rsidRPr="00570E1D" w:rsidTr="00C76260">
        <w:trPr>
          <w:jc w:val="center"/>
        </w:trPr>
        <w:tc>
          <w:tcPr>
            <w:tcW w:w="2127" w:type="dxa"/>
            <w:vAlign w:val="center"/>
          </w:tcPr>
          <w:p w:rsidR="00CC3C30" w:rsidRPr="00570E1D" w:rsidRDefault="00CC3C30" w:rsidP="00DD2DFB">
            <w:pPr>
              <w:spacing w:before="40" w:afterLines="40" w:after="96"/>
              <w:jc w:val="center"/>
              <w:rPr>
                <w:rFonts w:ascii="Times New Roman" w:hAnsi="Times New Roman" w:cs="Times New Roman"/>
              </w:rPr>
            </w:pPr>
            <w:r w:rsidRPr="00570E1D">
              <w:rPr>
                <w:rFonts w:ascii="Times New Roman" w:hAnsi="Times New Roman" w:cs="Times New Roman"/>
              </w:rPr>
              <w:t>Leachate parameters</w:t>
            </w:r>
          </w:p>
        </w:tc>
        <w:tc>
          <w:tcPr>
            <w:tcW w:w="1701" w:type="dxa"/>
            <w:vAlign w:val="center"/>
          </w:tcPr>
          <w:p w:rsidR="00CC3C30" w:rsidRPr="00570E1D" w:rsidRDefault="00CC3C30" w:rsidP="00DD2DFB">
            <w:pPr>
              <w:spacing w:before="40" w:afterLines="40" w:after="96"/>
              <w:jc w:val="center"/>
              <w:rPr>
                <w:rFonts w:ascii="Times New Roman" w:hAnsi="Times New Roman" w:cs="Times New Roman"/>
              </w:rPr>
            </w:pPr>
            <w:r w:rsidRPr="00570E1D">
              <w:rPr>
                <w:rFonts w:ascii="Times New Roman" w:hAnsi="Times New Roman" w:cs="Times New Roman"/>
              </w:rPr>
              <w:t>COD (mg/l)</w:t>
            </w:r>
          </w:p>
        </w:tc>
        <w:tc>
          <w:tcPr>
            <w:tcW w:w="1559" w:type="dxa"/>
            <w:vAlign w:val="center"/>
          </w:tcPr>
          <w:p w:rsidR="00CC3C30" w:rsidRPr="00570E1D" w:rsidRDefault="00CC3C30" w:rsidP="00DD2DFB">
            <w:pPr>
              <w:spacing w:before="40" w:afterLines="40" w:after="96"/>
              <w:jc w:val="center"/>
              <w:rPr>
                <w:rFonts w:ascii="Times New Roman" w:hAnsi="Times New Roman" w:cs="Times New Roman"/>
              </w:rPr>
            </w:pPr>
            <w:r w:rsidRPr="00570E1D">
              <w:rPr>
                <w:rFonts w:ascii="Times New Roman" w:hAnsi="Times New Roman" w:cs="Times New Roman"/>
              </w:rPr>
              <w:t>NH</w:t>
            </w:r>
            <w:r w:rsidRPr="00570E1D">
              <w:rPr>
                <w:rFonts w:ascii="Times New Roman" w:hAnsi="Times New Roman" w:cs="Times New Roman"/>
                <w:vertAlign w:val="subscript"/>
              </w:rPr>
              <w:t>3</w:t>
            </w:r>
            <w:r w:rsidRPr="00570E1D">
              <w:rPr>
                <w:rFonts w:ascii="Times New Roman" w:hAnsi="Times New Roman" w:cs="Times New Roman"/>
              </w:rPr>
              <w:t>-N (mg/l)</w:t>
            </w:r>
          </w:p>
        </w:tc>
        <w:tc>
          <w:tcPr>
            <w:tcW w:w="1276" w:type="dxa"/>
            <w:vAlign w:val="center"/>
          </w:tcPr>
          <w:p w:rsidR="00CC3C30" w:rsidRPr="00570E1D" w:rsidRDefault="00CC3C30" w:rsidP="00DD2DFB">
            <w:pPr>
              <w:spacing w:before="40" w:afterLines="40" w:after="96"/>
              <w:jc w:val="center"/>
              <w:rPr>
                <w:rFonts w:ascii="Times New Roman" w:hAnsi="Times New Roman" w:cs="Times New Roman"/>
              </w:rPr>
            </w:pPr>
            <w:r w:rsidRPr="00570E1D">
              <w:rPr>
                <w:rFonts w:ascii="Times New Roman" w:hAnsi="Times New Roman" w:cs="Times New Roman"/>
              </w:rPr>
              <w:t>NO</w:t>
            </w:r>
            <w:r w:rsidRPr="00570E1D">
              <w:rPr>
                <w:rFonts w:ascii="Times New Roman" w:hAnsi="Times New Roman" w:cs="Times New Roman"/>
                <w:vertAlign w:val="subscript"/>
              </w:rPr>
              <w:t>3</w:t>
            </w:r>
            <w:r w:rsidRPr="00570E1D">
              <w:rPr>
                <w:rFonts w:ascii="Times New Roman" w:hAnsi="Times New Roman" w:cs="Times New Roman"/>
                <w:vertAlign w:val="superscript"/>
              </w:rPr>
              <w:t>-</w:t>
            </w:r>
            <w:r w:rsidRPr="00570E1D">
              <w:rPr>
                <w:rFonts w:ascii="Times New Roman" w:hAnsi="Times New Roman" w:cs="Times New Roman"/>
              </w:rPr>
              <w:t xml:space="preserve"> (mg/l)</w:t>
            </w:r>
          </w:p>
        </w:tc>
        <w:tc>
          <w:tcPr>
            <w:tcW w:w="850" w:type="dxa"/>
            <w:vAlign w:val="center"/>
          </w:tcPr>
          <w:p w:rsidR="00CC3C30" w:rsidRPr="00570E1D" w:rsidRDefault="00CC3C30" w:rsidP="00DD2DFB">
            <w:pPr>
              <w:spacing w:before="40" w:afterLines="40" w:after="96"/>
              <w:jc w:val="center"/>
              <w:rPr>
                <w:rFonts w:ascii="Times New Roman" w:hAnsi="Times New Roman" w:cs="Times New Roman"/>
              </w:rPr>
            </w:pPr>
            <w:r w:rsidRPr="00570E1D">
              <w:rPr>
                <w:rFonts w:ascii="Times New Roman" w:hAnsi="Times New Roman" w:cs="Times New Roman"/>
              </w:rPr>
              <w:t>pH</w:t>
            </w:r>
          </w:p>
        </w:tc>
      </w:tr>
      <w:tr w:rsidR="00570E1D" w:rsidRPr="00570E1D" w:rsidTr="00C76260">
        <w:trPr>
          <w:jc w:val="center"/>
        </w:trPr>
        <w:tc>
          <w:tcPr>
            <w:tcW w:w="2127" w:type="dxa"/>
            <w:vAlign w:val="center"/>
          </w:tcPr>
          <w:p w:rsidR="00CC3C30" w:rsidRPr="00570E1D" w:rsidRDefault="00CC3C30" w:rsidP="00DD2DFB">
            <w:pPr>
              <w:spacing w:before="40" w:afterLines="40" w:after="96"/>
              <w:jc w:val="center"/>
              <w:rPr>
                <w:rFonts w:ascii="Times New Roman" w:hAnsi="Times New Roman" w:cs="Times New Roman"/>
              </w:rPr>
            </w:pPr>
            <w:r w:rsidRPr="00570E1D">
              <w:rPr>
                <w:rFonts w:ascii="Times New Roman" w:hAnsi="Times New Roman" w:cs="Times New Roman"/>
              </w:rPr>
              <w:t>Properties</w:t>
            </w:r>
          </w:p>
        </w:tc>
        <w:tc>
          <w:tcPr>
            <w:tcW w:w="1701" w:type="dxa"/>
            <w:vAlign w:val="center"/>
          </w:tcPr>
          <w:p w:rsidR="00CC3C30" w:rsidRPr="00570E1D" w:rsidRDefault="00CC3C30" w:rsidP="00DD2DFB">
            <w:pPr>
              <w:pStyle w:val="ListParagraph"/>
              <w:numPr>
                <w:ilvl w:val="0"/>
                <w:numId w:val="6"/>
              </w:numPr>
              <w:spacing w:before="40" w:afterLines="40" w:after="96"/>
              <w:jc w:val="center"/>
              <w:rPr>
                <w:rFonts w:ascii="Times New Roman" w:hAnsi="Times New Roman" w:cs="Times New Roman"/>
              </w:rPr>
            </w:pPr>
            <w:r w:rsidRPr="00570E1D">
              <w:rPr>
                <w:rFonts w:ascii="Times New Roman" w:eastAsia="Batang" w:hAnsi="Times New Roman" w:cs="Times New Roman"/>
              </w:rPr>
              <w:t>±</w:t>
            </w:r>
            <w:r w:rsidRPr="00570E1D">
              <w:rPr>
                <w:rFonts w:ascii="Times New Roman" w:hAnsi="Times New Roman" w:cs="Times New Roman"/>
              </w:rPr>
              <w:t xml:space="preserve"> 295</w:t>
            </w:r>
          </w:p>
        </w:tc>
        <w:tc>
          <w:tcPr>
            <w:tcW w:w="1559" w:type="dxa"/>
            <w:vAlign w:val="center"/>
          </w:tcPr>
          <w:p w:rsidR="00CC3C30" w:rsidRPr="00570E1D" w:rsidRDefault="00CC3C30" w:rsidP="00DD2DFB">
            <w:pPr>
              <w:spacing w:before="40" w:afterLines="40" w:after="96"/>
              <w:jc w:val="center"/>
              <w:rPr>
                <w:rFonts w:ascii="Times New Roman" w:hAnsi="Times New Roman" w:cs="Times New Roman"/>
              </w:rPr>
            </w:pPr>
            <w:r w:rsidRPr="00570E1D">
              <w:rPr>
                <w:rFonts w:ascii="Times New Roman" w:eastAsia="Batang" w:hAnsi="Times New Roman" w:cs="Times New Roman"/>
              </w:rPr>
              <w:t>2 ±</w:t>
            </w:r>
            <w:r w:rsidRPr="00570E1D">
              <w:rPr>
                <w:rFonts w:ascii="Times New Roman" w:hAnsi="Times New Roman" w:cs="Times New Roman"/>
              </w:rPr>
              <w:t xml:space="preserve"> 38</w:t>
            </w:r>
          </w:p>
        </w:tc>
        <w:tc>
          <w:tcPr>
            <w:tcW w:w="1276" w:type="dxa"/>
            <w:vAlign w:val="center"/>
          </w:tcPr>
          <w:p w:rsidR="00CC3C30" w:rsidRPr="00570E1D" w:rsidRDefault="00CC3C30" w:rsidP="00DD2DFB">
            <w:pPr>
              <w:spacing w:before="40" w:afterLines="40" w:after="96"/>
              <w:jc w:val="center"/>
              <w:rPr>
                <w:rFonts w:ascii="Times New Roman" w:hAnsi="Times New Roman" w:cs="Times New Roman"/>
              </w:rPr>
            </w:pPr>
            <w:r w:rsidRPr="00570E1D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850" w:type="dxa"/>
            <w:vAlign w:val="center"/>
          </w:tcPr>
          <w:p w:rsidR="00CC3C30" w:rsidRPr="00570E1D" w:rsidRDefault="00CC3C30" w:rsidP="00DD2DFB">
            <w:pPr>
              <w:spacing w:before="40" w:afterLines="40" w:after="96"/>
              <w:jc w:val="center"/>
              <w:rPr>
                <w:rFonts w:ascii="Times New Roman" w:hAnsi="Times New Roman" w:cs="Times New Roman"/>
              </w:rPr>
            </w:pPr>
            <w:r w:rsidRPr="00570E1D">
              <w:rPr>
                <w:rFonts w:ascii="Times New Roman" w:eastAsia="Batang" w:hAnsi="Times New Roman" w:cs="Times New Roman"/>
              </w:rPr>
              <w:t>8 ± 0.1</w:t>
            </w:r>
          </w:p>
        </w:tc>
      </w:tr>
    </w:tbl>
    <w:p w:rsidR="00B0240E" w:rsidRPr="00570E1D" w:rsidRDefault="00CC3C30" w:rsidP="00DD2DFB">
      <w:pPr>
        <w:pStyle w:val="ListParagraph"/>
        <w:numPr>
          <w:ilvl w:val="1"/>
          <w:numId w:val="1"/>
        </w:numPr>
        <w:spacing w:before="40" w:after="40" w:line="276" w:lineRule="auto"/>
        <w:ind w:left="357" w:hanging="357"/>
        <w:jc w:val="both"/>
        <w:rPr>
          <w:rFonts w:ascii="Times New Roman" w:hAnsi="Times New Roman" w:cs="Times New Roman"/>
          <w:b/>
        </w:rPr>
      </w:pPr>
      <w:r w:rsidRPr="00570E1D">
        <w:rPr>
          <w:rFonts w:ascii="Times New Roman" w:hAnsi="Times New Roman" w:cs="Times New Roman"/>
          <w:b/>
        </w:rPr>
        <w:t xml:space="preserve"> </w:t>
      </w:r>
      <w:r w:rsidR="00B0240E" w:rsidRPr="00570E1D">
        <w:rPr>
          <w:rFonts w:ascii="Times New Roman" w:hAnsi="Times New Roman" w:cs="Times New Roman"/>
          <w:b/>
        </w:rPr>
        <w:t>Electrocoagulation system</w:t>
      </w:r>
    </w:p>
    <w:p w:rsidR="00CC3C30" w:rsidRPr="00570E1D" w:rsidRDefault="00B0240E" w:rsidP="00A35E05">
      <w:pPr>
        <w:autoSpaceDE w:val="0"/>
        <w:autoSpaceDN w:val="0"/>
        <w:adjustRightInd w:val="0"/>
        <w:spacing w:before="40" w:afterLines="40" w:after="96" w:line="276" w:lineRule="auto"/>
        <w:ind w:firstLine="567"/>
        <w:jc w:val="both"/>
        <w:rPr>
          <w:rFonts w:ascii="Times New Roman" w:eastAsia="AdvGulliv-R" w:hAnsi="Times New Roman" w:cs="Times New Roman"/>
        </w:rPr>
      </w:pPr>
      <w:r w:rsidRPr="00570E1D">
        <w:rPr>
          <w:rFonts w:ascii="Times New Roman" w:eastAsia="AdvGulliv-R" w:hAnsi="Times New Roman" w:cs="Times New Roman"/>
        </w:rPr>
        <w:t>The mono-polar electrocoagulation unit consisted of</w:t>
      </w:r>
      <w:r w:rsidR="0022326F">
        <w:rPr>
          <w:rFonts w:ascii="Times New Roman" w:eastAsia="AdvGulliv-R" w:hAnsi="Times New Roman" w:cs="Times New Roman"/>
        </w:rPr>
        <w:t xml:space="preserve"> approximately 1.8 L of leachate and</w:t>
      </w:r>
      <w:r w:rsidRPr="00570E1D">
        <w:rPr>
          <w:rFonts w:ascii="Times New Roman" w:eastAsia="AdvGulliv-R" w:hAnsi="Times New Roman" w:cs="Times New Roman"/>
        </w:rPr>
        <w:t xml:space="preserve"> eight electrodes connected directly to a Direct Current. Each electrode was made of iron </w:t>
      </w:r>
      <w:r w:rsidR="0022326F">
        <w:rPr>
          <w:rFonts w:ascii="Times New Roman" w:eastAsia="AdvGulliv-R" w:hAnsi="Times New Roman" w:cs="Times New Roman"/>
        </w:rPr>
        <w:t>or</w:t>
      </w:r>
      <w:r w:rsidRPr="00570E1D">
        <w:rPr>
          <w:rFonts w:ascii="Times New Roman" w:eastAsia="AdvGulliv-R" w:hAnsi="Times New Roman" w:cs="Times New Roman"/>
        </w:rPr>
        <w:t xml:space="preserve"> aluminum with the dimension of 11 cm x 10 cm, the electrodes were submerged and the </w:t>
      </w:r>
      <w:r w:rsidR="0022326F">
        <w:rPr>
          <w:rFonts w:ascii="Times New Roman" w:eastAsia="AdvGulliv-R" w:hAnsi="Times New Roman" w:cs="Times New Roman"/>
        </w:rPr>
        <w:t xml:space="preserve">inter-electrode </w:t>
      </w:r>
      <w:r w:rsidRPr="00570E1D">
        <w:rPr>
          <w:rFonts w:ascii="Times New Roman" w:eastAsia="AdvGulliv-R" w:hAnsi="Times New Roman" w:cs="Times New Roman"/>
        </w:rPr>
        <w:t xml:space="preserve">distance was 1cm. </w:t>
      </w:r>
    </w:p>
    <w:p w:rsidR="00B0240E" w:rsidRPr="00570E1D" w:rsidRDefault="00B0240E" w:rsidP="00DD2DFB">
      <w:pPr>
        <w:pStyle w:val="ListParagraph"/>
        <w:numPr>
          <w:ilvl w:val="1"/>
          <w:numId w:val="1"/>
        </w:numPr>
        <w:spacing w:before="40" w:after="40" w:line="276" w:lineRule="auto"/>
        <w:ind w:left="357" w:hanging="357"/>
        <w:jc w:val="both"/>
        <w:rPr>
          <w:rFonts w:ascii="Times New Roman" w:hAnsi="Times New Roman" w:cs="Times New Roman"/>
          <w:b/>
        </w:rPr>
      </w:pPr>
      <w:r w:rsidRPr="00570E1D">
        <w:rPr>
          <w:rFonts w:ascii="Times New Roman" w:hAnsi="Times New Roman" w:cs="Times New Roman"/>
          <w:b/>
        </w:rPr>
        <w:t xml:space="preserve">Analytical methods </w:t>
      </w:r>
    </w:p>
    <w:p w:rsidR="00B0240E" w:rsidRPr="00570E1D" w:rsidRDefault="00B0240E" w:rsidP="00A35E05">
      <w:pPr>
        <w:spacing w:before="40" w:afterLines="40" w:after="96" w:line="276" w:lineRule="auto"/>
        <w:ind w:firstLine="567"/>
        <w:jc w:val="both"/>
        <w:rPr>
          <w:rFonts w:ascii="Times New Roman" w:hAnsi="Times New Roman" w:cs="Times New Roman"/>
          <w:b/>
        </w:rPr>
      </w:pPr>
      <w:r w:rsidRPr="00570E1D">
        <w:rPr>
          <w:rFonts w:ascii="Times New Roman" w:hAnsi="Times New Roman" w:cs="Times New Roman"/>
        </w:rPr>
        <w:t>The COD and pH were measured by the dichromate method (TCVN 6491:1999, corresponding to ISO 6060:1989) and pH monitor (HANNA HI 991001), respectively</w:t>
      </w:r>
      <w:r w:rsidR="00FD0F0B" w:rsidRPr="00570E1D">
        <w:rPr>
          <w:rFonts w:ascii="Times New Roman" w:hAnsi="Times New Roman" w:cs="Times New Roman"/>
        </w:rPr>
        <w:t>.</w:t>
      </w:r>
    </w:p>
    <w:p w:rsidR="00B0240E" w:rsidRPr="00570E1D" w:rsidRDefault="008215CF" w:rsidP="00570E1D">
      <w:pPr>
        <w:pStyle w:val="ListParagraph"/>
        <w:numPr>
          <w:ilvl w:val="0"/>
          <w:numId w:val="1"/>
        </w:numPr>
        <w:spacing w:before="40" w:afterLines="40" w:after="96" w:line="276" w:lineRule="auto"/>
        <w:jc w:val="both"/>
        <w:rPr>
          <w:rFonts w:ascii="Times New Roman" w:hAnsi="Times New Roman" w:cs="Times New Roman"/>
          <w:b/>
        </w:rPr>
      </w:pPr>
      <w:r w:rsidRPr="00570E1D">
        <w:rPr>
          <w:rFonts w:ascii="Times New Roman" w:hAnsi="Times New Roman" w:cs="Times New Roman"/>
          <w:b/>
        </w:rPr>
        <w:t xml:space="preserve">Results and Discussion </w:t>
      </w:r>
    </w:p>
    <w:p w:rsidR="00FD0F0B" w:rsidRPr="00BF2240" w:rsidRDefault="00244A47" w:rsidP="00570E1D">
      <w:pPr>
        <w:pStyle w:val="ListParagraph"/>
        <w:numPr>
          <w:ilvl w:val="1"/>
          <w:numId w:val="1"/>
        </w:numPr>
        <w:spacing w:before="40" w:afterLines="40" w:after="96" w:line="276" w:lineRule="auto"/>
        <w:jc w:val="both"/>
        <w:rPr>
          <w:rFonts w:ascii="Times New Roman" w:hAnsi="Times New Roman" w:cs="Times New Roman"/>
          <w:b/>
          <w:i/>
        </w:rPr>
      </w:pPr>
      <w:r w:rsidRPr="00BF2240">
        <w:rPr>
          <w:rFonts w:ascii="Times New Roman" w:hAnsi="Times New Roman" w:cs="Times New Roman"/>
          <w:b/>
          <w:i/>
        </w:rPr>
        <w:t>Effects of current intensity and operating time</w:t>
      </w:r>
    </w:p>
    <w:p w:rsidR="00BF2240" w:rsidRDefault="00BF2240" w:rsidP="00A35E05">
      <w:pPr>
        <w:spacing w:before="40" w:afterLines="40" w:after="96" w:line="276" w:lineRule="auto"/>
        <w:ind w:firstLine="567"/>
        <w:jc w:val="both"/>
        <w:rPr>
          <w:rFonts w:ascii="Times New Roman" w:hAnsi="Times New Roman" w:cs="Times New Roman"/>
        </w:rPr>
        <w:sectPr w:rsidR="00BF2240" w:rsidSect="00570E1D">
          <w:pgSz w:w="10773" w:h="15309" w:code="1"/>
          <w:pgMar w:top="2268" w:right="1418" w:bottom="2268" w:left="1701" w:header="720" w:footer="720" w:gutter="0"/>
          <w:cols w:space="720"/>
          <w:docGrid w:linePitch="360"/>
        </w:sectPr>
      </w:pPr>
    </w:p>
    <w:p w:rsidR="00FD0F0B" w:rsidRPr="009A5879" w:rsidRDefault="00564604" w:rsidP="00A35E05">
      <w:pPr>
        <w:spacing w:before="40" w:afterLines="40" w:after="96" w:line="276" w:lineRule="auto"/>
        <w:ind w:firstLine="567"/>
        <w:jc w:val="both"/>
        <w:rPr>
          <w:rFonts w:ascii="Times New Roman" w:hAnsi="Times New Roman" w:cs="Times New Roman"/>
          <w:spacing w:val="-6"/>
        </w:rPr>
      </w:pPr>
      <w:r w:rsidRPr="009A5879">
        <w:rPr>
          <w:rFonts w:ascii="Times New Roman" w:hAnsi="Times New Roman" w:cs="Times New Roman"/>
          <w:spacing w:val="-6"/>
        </w:rPr>
        <w:lastRenderedPageBreak/>
        <w:t>Figure 1</w:t>
      </w:r>
      <w:r w:rsidR="000B1B67" w:rsidRPr="009A5879">
        <w:rPr>
          <w:rFonts w:ascii="Times New Roman" w:hAnsi="Times New Roman" w:cs="Times New Roman"/>
          <w:spacing w:val="-6"/>
        </w:rPr>
        <w:t xml:space="preserve"> shown that </w:t>
      </w:r>
      <w:r w:rsidR="00FD0F0B" w:rsidRPr="009A5879">
        <w:rPr>
          <w:rFonts w:ascii="Times New Roman" w:hAnsi="Times New Roman" w:cs="Times New Roman"/>
          <w:spacing w:val="-6"/>
        </w:rPr>
        <w:t xml:space="preserve">COD treatment yield was directly proportional to current intensity and electrolysis time. COD removal percentage </w:t>
      </w:r>
      <w:r w:rsidR="0022326F" w:rsidRPr="009A5879">
        <w:rPr>
          <w:rFonts w:ascii="Times New Roman" w:hAnsi="Times New Roman" w:cs="Times New Roman"/>
          <w:spacing w:val="-6"/>
        </w:rPr>
        <w:t xml:space="preserve">at intensity of 3 and 4A were </w:t>
      </w:r>
      <w:r w:rsidR="00FD0F0B" w:rsidRPr="009A5879">
        <w:rPr>
          <w:rFonts w:ascii="Times New Roman" w:hAnsi="Times New Roman" w:cs="Times New Roman"/>
          <w:spacing w:val="-6"/>
        </w:rPr>
        <w:t xml:space="preserve">not considerably different, at 79.29 and 82.69% </w:t>
      </w:r>
      <w:r w:rsidR="000B1B67" w:rsidRPr="009A5879">
        <w:rPr>
          <w:rFonts w:ascii="Times New Roman" w:hAnsi="Times New Roman" w:cs="Times New Roman"/>
          <w:spacing w:val="-6"/>
        </w:rPr>
        <w:t>(</w:t>
      </w:r>
      <w:r w:rsidR="00FD0F0B" w:rsidRPr="009A5879">
        <w:rPr>
          <w:rFonts w:ascii="Times New Roman" w:hAnsi="Times New Roman" w:cs="Times New Roman"/>
          <w:spacing w:val="-6"/>
        </w:rPr>
        <w:t>80 min</w:t>
      </w:r>
      <w:r w:rsidR="000B1B67" w:rsidRPr="009A5879">
        <w:rPr>
          <w:rFonts w:ascii="Times New Roman" w:hAnsi="Times New Roman" w:cs="Times New Roman"/>
          <w:spacing w:val="-6"/>
        </w:rPr>
        <w:t>)</w:t>
      </w:r>
      <w:r w:rsidR="00EA22EF" w:rsidRPr="009A5879">
        <w:rPr>
          <w:rFonts w:ascii="Times New Roman" w:hAnsi="Times New Roman" w:cs="Times New Roman"/>
          <w:spacing w:val="-6"/>
        </w:rPr>
        <w:t xml:space="preserve">. </w:t>
      </w:r>
      <w:r w:rsidR="00FD0F0B" w:rsidRPr="009A5879">
        <w:rPr>
          <w:rFonts w:ascii="Times New Roman" w:hAnsi="Times New Roman" w:cs="Times New Roman"/>
          <w:spacing w:val="-6"/>
        </w:rPr>
        <w:t>C</w:t>
      </w:r>
      <w:r w:rsidR="00EA22EF" w:rsidRPr="009A5879">
        <w:rPr>
          <w:rFonts w:ascii="Times New Roman" w:hAnsi="Times New Roman" w:cs="Times New Roman"/>
          <w:spacing w:val="-6"/>
        </w:rPr>
        <w:t>OD removal percentage rocketed</w:t>
      </w:r>
      <w:r w:rsidR="00FD0F0B" w:rsidRPr="009A5879">
        <w:rPr>
          <w:rFonts w:ascii="Times New Roman" w:hAnsi="Times New Roman" w:cs="Times New Roman"/>
          <w:spacing w:val="-6"/>
        </w:rPr>
        <w:t xml:space="preserve"> </w:t>
      </w:r>
      <w:r w:rsidR="00EA22EF" w:rsidRPr="009A5879">
        <w:rPr>
          <w:rFonts w:ascii="Times New Roman" w:hAnsi="Times New Roman" w:cs="Times New Roman"/>
          <w:spacing w:val="-6"/>
        </w:rPr>
        <w:t>in</w:t>
      </w:r>
      <w:r w:rsidR="000B1B67" w:rsidRPr="009A5879">
        <w:rPr>
          <w:rFonts w:ascii="Times New Roman" w:hAnsi="Times New Roman" w:cs="Times New Roman"/>
          <w:spacing w:val="-6"/>
        </w:rPr>
        <w:t xml:space="preserve"> </w:t>
      </w:r>
      <w:r w:rsidR="00FD0F0B" w:rsidRPr="009A5879">
        <w:rPr>
          <w:rFonts w:ascii="Times New Roman" w:hAnsi="Times New Roman" w:cs="Times New Roman"/>
          <w:spacing w:val="-6"/>
        </w:rPr>
        <w:t xml:space="preserve">first </w:t>
      </w:r>
      <w:r w:rsidR="000B1B67" w:rsidRPr="009A5879">
        <w:rPr>
          <w:rFonts w:ascii="Times New Roman" w:hAnsi="Times New Roman" w:cs="Times New Roman"/>
          <w:spacing w:val="-6"/>
        </w:rPr>
        <w:t>40 min</w:t>
      </w:r>
      <w:r w:rsidR="00FD0F0B" w:rsidRPr="009A5879">
        <w:rPr>
          <w:rFonts w:ascii="Times New Roman" w:hAnsi="Times New Roman" w:cs="Times New Roman"/>
          <w:spacing w:val="-6"/>
        </w:rPr>
        <w:t xml:space="preserve">, then remain stably; at above 73% </w:t>
      </w:r>
      <w:r w:rsidR="000B1B67" w:rsidRPr="009A5879">
        <w:rPr>
          <w:rFonts w:ascii="Times New Roman" w:hAnsi="Times New Roman" w:cs="Times New Roman"/>
          <w:spacing w:val="-6"/>
        </w:rPr>
        <w:t xml:space="preserve">(I = </w:t>
      </w:r>
      <w:r w:rsidR="00FD0F0B" w:rsidRPr="009A5879">
        <w:rPr>
          <w:rFonts w:ascii="Times New Roman" w:hAnsi="Times New Roman" w:cs="Times New Roman"/>
          <w:spacing w:val="-6"/>
        </w:rPr>
        <w:t>3A</w:t>
      </w:r>
      <w:r w:rsidR="000B1B67" w:rsidRPr="009A5879">
        <w:rPr>
          <w:rFonts w:ascii="Times New Roman" w:hAnsi="Times New Roman" w:cs="Times New Roman"/>
          <w:spacing w:val="-6"/>
        </w:rPr>
        <w:t>)</w:t>
      </w:r>
      <w:r w:rsidR="00FD0F0B" w:rsidRPr="009A5879">
        <w:rPr>
          <w:rFonts w:ascii="Times New Roman" w:hAnsi="Times New Roman" w:cs="Times New Roman"/>
          <w:spacing w:val="-6"/>
        </w:rPr>
        <w:t xml:space="preserve">. </w:t>
      </w:r>
      <w:r w:rsidR="00D30FD1" w:rsidRPr="009A5879">
        <w:rPr>
          <w:rFonts w:ascii="Times New Roman" w:hAnsi="Times New Roman" w:cs="Times New Roman"/>
          <w:spacing w:val="-6"/>
        </w:rPr>
        <w:t xml:space="preserve">Hence, </w:t>
      </w:r>
      <w:r w:rsidR="00FD0F0B" w:rsidRPr="009A5879">
        <w:rPr>
          <w:rFonts w:ascii="Times New Roman" w:hAnsi="Times New Roman" w:cs="Times New Roman"/>
          <w:spacing w:val="-6"/>
        </w:rPr>
        <w:t xml:space="preserve">current intensity of 3A and operating time of 40 min were chosen </w:t>
      </w:r>
      <w:r w:rsidR="00D30FD1" w:rsidRPr="009A5879">
        <w:rPr>
          <w:rFonts w:ascii="Times New Roman" w:hAnsi="Times New Roman" w:cs="Times New Roman"/>
          <w:spacing w:val="-6"/>
        </w:rPr>
        <w:t>for</w:t>
      </w:r>
      <w:r w:rsidR="009A5879" w:rsidRPr="009A5879">
        <w:rPr>
          <w:rFonts w:ascii="Times New Roman" w:hAnsi="Times New Roman" w:cs="Times New Roman"/>
          <w:spacing w:val="-6"/>
        </w:rPr>
        <w:t xml:space="preserve"> the</w:t>
      </w:r>
      <w:r w:rsidR="00D30FD1" w:rsidRPr="009A5879">
        <w:rPr>
          <w:rFonts w:ascii="Times New Roman" w:hAnsi="Times New Roman" w:cs="Times New Roman"/>
          <w:spacing w:val="-6"/>
        </w:rPr>
        <w:t xml:space="preserve"> </w:t>
      </w:r>
      <w:r w:rsidR="00FD0F0B" w:rsidRPr="009A5879">
        <w:rPr>
          <w:rFonts w:ascii="Times New Roman" w:hAnsi="Times New Roman" w:cs="Times New Roman"/>
          <w:spacing w:val="-6"/>
        </w:rPr>
        <w:t>next experiment</w:t>
      </w:r>
      <w:r w:rsidR="00D30FD1" w:rsidRPr="009A5879">
        <w:rPr>
          <w:rFonts w:ascii="Times New Roman" w:hAnsi="Times New Roman" w:cs="Times New Roman"/>
          <w:spacing w:val="-6"/>
        </w:rPr>
        <w:t>s</w:t>
      </w:r>
      <w:r w:rsidR="00731F6D" w:rsidRPr="009A5879">
        <w:rPr>
          <w:rFonts w:ascii="Times New Roman" w:hAnsi="Times New Roman" w:cs="Times New Roman"/>
          <w:spacing w:val="-6"/>
        </w:rPr>
        <w:t>.</w:t>
      </w:r>
    </w:p>
    <w:p w:rsidR="00561F44" w:rsidRDefault="00561F44" w:rsidP="00BF2240">
      <w:pPr>
        <w:spacing w:before="40" w:afterLines="40" w:after="96" w:line="276" w:lineRule="auto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670DF412" wp14:editId="14118500">
            <wp:extent cx="2339975" cy="1406178"/>
            <wp:effectExtent l="0" t="0" r="3175" b="381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F2240" w:rsidRPr="00EA22EF" w:rsidRDefault="00BF2240" w:rsidP="00BF2240">
      <w:pPr>
        <w:spacing w:before="40" w:afterLines="40" w:after="96" w:line="276" w:lineRule="auto"/>
        <w:jc w:val="both"/>
        <w:rPr>
          <w:rFonts w:ascii="Times New Roman" w:hAnsi="Times New Roman" w:cs="Times New Roman"/>
          <w:sz w:val="20"/>
          <w:szCs w:val="20"/>
        </w:rPr>
        <w:sectPr w:rsidR="00BF2240" w:rsidRPr="00EA22EF" w:rsidSect="00BF2240">
          <w:type w:val="continuous"/>
          <w:pgSz w:w="10773" w:h="15309" w:code="1"/>
          <w:pgMar w:top="2268" w:right="1418" w:bottom="2268" w:left="1701" w:header="720" w:footer="720" w:gutter="0"/>
          <w:cols w:num="2" w:space="284"/>
          <w:docGrid w:linePitch="360"/>
        </w:sectPr>
      </w:pPr>
      <w:r w:rsidRPr="00EA22EF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 w:rsidR="00564604" w:rsidRPr="00EA22EF">
        <w:rPr>
          <w:rFonts w:ascii="Times New Roman" w:hAnsi="Times New Roman" w:cs="Times New Roman"/>
          <w:b/>
          <w:sz w:val="20"/>
          <w:szCs w:val="20"/>
        </w:rPr>
        <w:t>1</w:t>
      </w:r>
      <w:r w:rsidRPr="00EA22EF">
        <w:rPr>
          <w:rFonts w:ascii="Times New Roman" w:hAnsi="Times New Roman" w:cs="Times New Roman"/>
          <w:sz w:val="20"/>
          <w:szCs w:val="20"/>
        </w:rPr>
        <w:t>.   Effect</w:t>
      </w:r>
      <w:r w:rsidR="009A5879">
        <w:rPr>
          <w:rFonts w:ascii="Times New Roman" w:hAnsi="Times New Roman" w:cs="Times New Roman"/>
          <w:sz w:val="20"/>
          <w:szCs w:val="20"/>
        </w:rPr>
        <w:t>s</w:t>
      </w:r>
      <w:r w:rsidRPr="00EA22EF">
        <w:rPr>
          <w:rFonts w:ascii="Times New Roman" w:hAnsi="Times New Roman" w:cs="Times New Roman"/>
          <w:sz w:val="20"/>
          <w:szCs w:val="20"/>
        </w:rPr>
        <w:t xml:space="preserve"> of current intensity </w:t>
      </w:r>
      <w:r w:rsidR="003C31AB" w:rsidRPr="00EA22EF">
        <w:rPr>
          <w:rFonts w:ascii="Times New Roman" w:hAnsi="Times New Roman" w:cs="Times New Roman"/>
          <w:sz w:val="20"/>
          <w:szCs w:val="20"/>
        </w:rPr>
        <w:t xml:space="preserve">and operating time on COD </w:t>
      </w:r>
      <w:r w:rsidRPr="00EA22EF">
        <w:rPr>
          <w:rFonts w:ascii="Times New Roman" w:hAnsi="Times New Roman" w:cs="Times New Roman"/>
          <w:sz w:val="20"/>
          <w:szCs w:val="20"/>
        </w:rPr>
        <w:t>removal efficiency</w:t>
      </w:r>
    </w:p>
    <w:p w:rsidR="008215CF" w:rsidRPr="00BF2240" w:rsidRDefault="00230962" w:rsidP="00570E1D">
      <w:pPr>
        <w:pStyle w:val="ListParagraph"/>
        <w:numPr>
          <w:ilvl w:val="1"/>
          <w:numId w:val="1"/>
        </w:numPr>
        <w:spacing w:before="40" w:afterLines="40" w:after="96" w:line="276" w:lineRule="auto"/>
        <w:jc w:val="both"/>
        <w:rPr>
          <w:rFonts w:ascii="Times New Roman" w:hAnsi="Times New Roman" w:cs="Times New Roman"/>
          <w:b/>
          <w:i/>
        </w:rPr>
      </w:pPr>
      <w:r w:rsidRPr="00BF2240">
        <w:rPr>
          <w:rFonts w:ascii="Times New Roman" w:hAnsi="Times New Roman" w:cs="Times New Roman"/>
          <w:b/>
          <w:i/>
        </w:rPr>
        <w:lastRenderedPageBreak/>
        <w:t>Effect of initial pH</w:t>
      </w:r>
    </w:p>
    <w:p w:rsidR="00BF2240" w:rsidRDefault="00BF2240" w:rsidP="00A35E05">
      <w:pPr>
        <w:spacing w:before="40" w:afterLines="40" w:after="96" w:line="276" w:lineRule="auto"/>
        <w:ind w:firstLine="567"/>
        <w:jc w:val="both"/>
        <w:rPr>
          <w:rFonts w:ascii="Times New Roman" w:hAnsi="Times New Roman" w:cs="Times New Roman"/>
        </w:rPr>
        <w:sectPr w:rsidR="00BF2240" w:rsidSect="00BF2240">
          <w:type w:val="continuous"/>
          <w:pgSz w:w="10773" w:h="15309" w:code="1"/>
          <w:pgMar w:top="2268" w:right="1418" w:bottom="2268" w:left="1701" w:header="720" w:footer="720" w:gutter="0"/>
          <w:cols w:space="720"/>
          <w:docGrid w:linePitch="360"/>
        </w:sectPr>
      </w:pPr>
    </w:p>
    <w:p w:rsidR="00731F6D" w:rsidRPr="00570E1D" w:rsidRDefault="00731F6D" w:rsidP="00A35E05">
      <w:pPr>
        <w:spacing w:before="40" w:afterLines="40" w:after="96" w:line="276" w:lineRule="auto"/>
        <w:ind w:firstLine="567"/>
        <w:jc w:val="both"/>
        <w:rPr>
          <w:rFonts w:ascii="Times New Roman" w:hAnsi="Times New Roman" w:cs="Times New Roman"/>
        </w:rPr>
      </w:pPr>
      <w:r w:rsidRPr="00570E1D">
        <w:rPr>
          <w:rFonts w:ascii="Times New Roman" w:hAnsi="Times New Roman" w:cs="Times New Roman"/>
        </w:rPr>
        <w:lastRenderedPageBreak/>
        <w:t>Figure</w:t>
      </w:r>
      <w:r w:rsidR="00564604">
        <w:rPr>
          <w:rFonts w:ascii="Times New Roman" w:hAnsi="Times New Roman" w:cs="Times New Roman"/>
        </w:rPr>
        <w:t xml:space="preserve"> 2</w:t>
      </w:r>
      <w:r w:rsidRPr="00570E1D">
        <w:rPr>
          <w:rFonts w:ascii="Times New Roman" w:hAnsi="Times New Roman" w:cs="Times New Roman"/>
        </w:rPr>
        <w:t xml:space="preserve"> shown that </w:t>
      </w:r>
      <w:r w:rsidR="00D30FD1">
        <w:rPr>
          <w:rFonts w:ascii="Times New Roman" w:hAnsi="Times New Roman" w:cs="Times New Roman"/>
        </w:rPr>
        <w:t>COD was removed effectively in</w:t>
      </w:r>
      <w:r w:rsidRPr="00570E1D">
        <w:rPr>
          <w:rFonts w:ascii="Times New Roman" w:hAnsi="Times New Roman" w:cs="Times New Roman"/>
        </w:rPr>
        <w:t xml:space="preserve"> pH from 6 to 8, around 70% </w:t>
      </w:r>
      <w:r w:rsidR="009A5879">
        <w:rPr>
          <w:rFonts w:ascii="Times New Roman" w:hAnsi="Times New Roman" w:cs="Times New Roman"/>
        </w:rPr>
        <w:t>while</w:t>
      </w:r>
      <w:r w:rsidRPr="00570E1D">
        <w:rPr>
          <w:rFonts w:ascii="Times New Roman" w:hAnsi="Times New Roman" w:cs="Times New Roman"/>
        </w:rPr>
        <w:t xml:space="preserve"> both </w:t>
      </w:r>
      <w:r w:rsidR="00D30FD1">
        <w:rPr>
          <w:rFonts w:ascii="Times New Roman" w:hAnsi="Times New Roman" w:cs="Times New Roman"/>
        </w:rPr>
        <w:t xml:space="preserve">the </w:t>
      </w:r>
      <w:r w:rsidRPr="00570E1D">
        <w:rPr>
          <w:rFonts w:ascii="Times New Roman" w:hAnsi="Times New Roman" w:cs="Times New Roman"/>
        </w:rPr>
        <w:t>acidic and basic condition experience</w:t>
      </w:r>
      <w:r w:rsidR="00D30FD1">
        <w:rPr>
          <w:rFonts w:ascii="Times New Roman" w:hAnsi="Times New Roman" w:cs="Times New Roman"/>
        </w:rPr>
        <w:t>d</w:t>
      </w:r>
      <w:r w:rsidRPr="00570E1D">
        <w:rPr>
          <w:rFonts w:ascii="Times New Roman" w:hAnsi="Times New Roman" w:cs="Times New Roman"/>
        </w:rPr>
        <w:t xml:space="preserve"> a considerably decrease</w:t>
      </w:r>
      <w:r w:rsidR="009A5879">
        <w:rPr>
          <w:rFonts w:ascii="Times New Roman" w:hAnsi="Times New Roman" w:cs="Times New Roman"/>
        </w:rPr>
        <w:t xml:space="preserve">. To compare with </w:t>
      </w:r>
      <w:r w:rsidRPr="00570E1D">
        <w:rPr>
          <w:rFonts w:ascii="Times New Roman" w:hAnsi="Times New Roman" w:cs="Times New Roman"/>
        </w:rPr>
        <w:t xml:space="preserve">the raw leachate pH, it is not necessary to regulate initial pH of leachate. This is consistent with the findings of Li X. et al, 2011 </w:t>
      </w:r>
      <w:r w:rsidR="003D6191">
        <w:rPr>
          <w:rFonts w:ascii="Times New Roman" w:hAnsi="Times New Roman" w:cs="Times New Roman"/>
        </w:rPr>
        <w:t>[2</w:t>
      </w:r>
      <w:r w:rsidRPr="00570E1D">
        <w:rPr>
          <w:rFonts w:ascii="Times New Roman" w:hAnsi="Times New Roman" w:cs="Times New Roman"/>
        </w:rPr>
        <w:t xml:space="preserve">]. </w:t>
      </w:r>
    </w:p>
    <w:p w:rsidR="00230962" w:rsidRDefault="0022326F" w:rsidP="00570E1D">
      <w:pPr>
        <w:spacing w:before="40" w:afterLines="40" w:after="96"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6FD326" wp14:editId="666BBB7E">
            <wp:extent cx="2339975" cy="1413862"/>
            <wp:effectExtent l="0" t="0" r="3175" b="1524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F2240" w:rsidRPr="00EA22EF" w:rsidRDefault="00BF2240" w:rsidP="003C31AB">
      <w:pPr>
        <w:pStyle w:val="Caption"/>
        <w:ind w:firstLine="0"/>
        <w:rPr>
          <w:b/>
          <w:i w:val="0"/>
          <w:color w:val="auto"/>
          <w:sz w:val="20"/>
          <w:szCs w:val="20"/>
        </w:rPr>
      </w:pPr>
      <w:r w:rsidRPr="00EA22EF">
        <w:rPr>
          <w:b/>
          <w:i w:val="0"/>
          <w:color w:val="auto"/>
          <w:sz w:val="20"/>
          <w:szCs w:val="20"/>
        </w:rPr>
        <w:t xml:space="preserve">Figure </w:t>
      </w:r>
      <w:r w:rsidR="00564604" w:rsidRPr="00EA22EF">
        <w:rPr>
          <w:b/>
          <w:i w:val="0"/>
          <w:color w:val="auto"/>
          <w:sz w:val="20"/>
          <w:szCs w:val="20"/>
        </w:rPr>
        <w:t>2</w:t>
      </w:r>
      <w:r w:rsidRPr="00EA22EF">
        <w:rPr>
          <w:b/>
          <w:i w:val="0"/>
          <w:color w:val="auto"/>
          <w:sz w:val="20"/>
          <w:szCs w:val="20"/>
        </w:rPr>
        <w:t xml:space="preserve">. </w:t>
      </w:r>
      <w:r w:rsidRPr="00EA22EF">
        <w:rPr>
          <w:i w:val="0"/>
          <w:color w:val="auto"/>
          <w:sz w:val="20"/>
          <w:szCs w:val="20"/>
        </w:rPr>
        <w:t>Effect of initial pH on COD removal efficiency</w:t>
      </w:r>
    </w:p>
    <w:p w:rsidR="00BF2240" w:rsidRDefault="00BF2240" w:rsidP="00570E1D">
      <w:pPr>
        <w:pStyle w:val="ListParagraph"/>
        <w:numPr>
          <w:ilvl w:val="1"/>
          <w:numId w:val="1"/>
        </w:numPr>
        <w:spacing w:before="40" w:afterLines="40" w:after="96" w:line="276" w:lineRule="auto"/>
        <w:jc w:val="both"/>
        <w:rPr>
          <w:rFonts w:ascii="Times New Roman" w:hAnsi="Times New Roman" w:cs="Times New Roman"/>
        </w:rPr>
        <w:sectPr w:rsidR="00BF2240" w:rsidSect="00BF2240">
          <w:type w:val="continuous"/>
          <w:pgSz w:w="10773" w:h="15309" w:code="1"/>
          <w:pgMar w:top="2268" w:right="1418" w:bottom="2268" w:left="1701" w:header="720" w:footer="720" w:gutter="0"/>
          <w:cols w:num="2" w:space="284"/>
          <w:docGrid w:linePitch="360"/>
        </w:sectPr>
      </w:pPr>
    </w:p>
    <w:p w:rsidR="00230962" w:rsidRPr="003C31AB" w:rsidRDefault="00230962" w:rsidP="00570E1D">
      <w:pPr>
        <w:pStyle w:val="ListParagraph"/>
        <w:numPr>
          <w:ilvl w:val="1"/>
          <w:numId w:val="1"/>
        </w:numPr>
        <w:spacing w:before="40" w:afterLines="40" w:after="96" w:line="276" w:lineRule="auto"/>
        <w:jc w:val="both"/>
        <w:rPr>
          <w:rFonts w:ascii="Times New Roman" w:hAnsi="Times New Roman" w:cs="Times New Roman"/>
          <w:b/>
          <w:i/>
        </w:rPr>
      </w:pPr>
      <w:r w:rsidRPr="003C31AB">
        <w:rPr>
          <w:rFonts w:ascii="Times New Roman" w:hAnsi="Times New Roman" w:cs="Times New Roman"/>
          <w:b/>
          <w:i/>
        </w:rPr>
        <w:lastRenderedPageBreak/>
        <w:t xml:space="preserve">Effect of electrode materials </w:t>
      </w:r>
    </w:p>
    <w:p w:rsidR="003C31AB" w:rsidRDefault="003C31AB" w:rsidP="00A35E05">
      <w:pPr>
        <w:spacing w:before="40" w:afterLines="40" w:after="96" w:line="276" w:lineRule="auto"/>
        <w:ind w:firstLine="567"/>
        <w:jc w:val="both"/>
        <w:rPr>
          <w:rFonts w:ascii="Times New Roman" w:hAnsi="Times New Roman" w:cs="Times New Roman"/>
        </w:rPr>
        <w:sectPr w:rsidR="003C31AB" w:rsidSect="00D30FD1">
          <w:type w:val="continuous"/>
          <w:pgSz w:w="10773" w:h="15309" w:code="1"/>
          <w:pgMar w:top="2268" w:right="1418" w:bottom="2268" w:left="1701" w:header="720" w:footer="720" w:gutter="0"/>
          <w:cols w:num="2" w:space="284"/>
          <w:docGrid w:linePitch="360"/>
        </w:sectPr>
      </w:pPr>
    </w:p>
    <w:p w:rsidR="00731F6D" w:rsidRPr="00570E1D" w:rsidRDefault="00D30FD1" w:rsidP="00A35E05">
      <w:pPr>
        <w:spacing w:before="40" w:afterLines="40" w:after="96" w:line="276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</w:t>
      </w:r>
      <w:r w:rsidR="00564604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 indicated</w:t>
      </w:r>
      <w:r w:rsidR="00731F6D" w:rsidRPr="00570E1D">
        <w:rPr>
          <w:rFonts w:ascii="Times New Roman" w:hAnsi="Times New Roman" w:cs="Times New Roman"/>
        </w:rPr>
        <w:t xml:space="preserve"> that Fe-electrode has a higher treatment efficiency than Al one for COD removal. In detail, the COD removal efficiency by iron electrodes increases by 20 to 30% compared to the aluminum anode in the first 40 min electrolysis time because the settle ability of particle formed by Fe(OH)</w:t>
      </w:r>
      <w:r w:rsidR="00731F6D" w:rsidRPr="00570E1D">
        <w:rPr>
          <w:rFonts w:ascii="Times New Roman" w:hAnsi="Times New Roman" w:cs="Times New Roman"/>
          <w:vertAlign w:val="subscript"/>
        </w:rPr>
        <w:t>3</w:t>
      </w:r>
      <w:r w:rsidR="00731F6D" w:rsidRPr="00570E1D">
        <w:rPr>
          <w:rFonts w:ascii="Times New Roman" w:hAnsi="Times New Roman" w:cs="Times New Roman"/>
        </w:rPr>
        <w:t xml:space="preserve"> is better than that formed by Al(OH)</w:t>
      </w:r>
      <w:r w:rsidR="00731F6D" w:rsidRPr="00570E1D">
        <w:rPr>
          <w:rFonts w:ascii="Times New Roman" w:hAnsi="Times New Roman" w:cs="Times New Roman"/>
          <w:vertAlign w:val="subscript"/>
        </w:rPr>
        <w:t>3</w:t>
      </w:r>
      <w:r w:rsidR="00731F6D" w:rsidRPr="00570E1D">
        <w:rPr>
          <w:rFonts w:ascii="Times New Roman" w:hAnsi="Times New Roman" w:cs="Times New Roman"/>
        </w:rPr>
        <w:t xml:space="preserve"> </w:t>
      </w:r>
      <w:r w:rsidR="00731F6D" w:rsidRPr="00570E1D">
        <w:rPr>
          <w:rFonts w:ascii="Times New Roman" w:hAnsi="Times New Roman" w:cs="Times New Roman"/>
          <w:noProof/>
          <w:lang w:eastAsia="vi-VN"/>
        </w:rPr>
        <w:t>[</w:t>
      </w:r>
      <w:r w:rsidR="003D6191">
        <w:rPr>
          <w:rFonts w:ascii="Times New Roman" w:hAnsi="Times New Roman" w:cs="Times New Roman"/>
          <w:noProof/>
          <w:lang w:eastAsia="vi-VN"/>
        </w:rPr>
        <w:t>2</w:t>
      </w:r>
      <w:r w:rsidR="00731F6D" w:rsidRPr="00570E1D">
        <w:rPr>
          <w:rFonts w:ascii="Times New Roman" w:hAnsi="Times New Roman" w:cs="Times New Roman"/>
          <w:noProof/>
          <w:lang w:eastAsia="vi-VN"/>
        </w:rPr>
        <w:t>]</w:t>
      </w:r>
      <w:r w:rsidR="003D6191">
        <w:rPr>
          <w:rFonts w:ascii="Times New Roman" w:hAnsi="Times New Roman" w:cs="Times New Roman"/>
          <w:noProof/>
          <w:lang w:eastAsia="vi-VN"/>
        </w:rPr>
        <w:t>.</w:t>
      </w:r>
    </w:p>
    <w:p w:rsidR="00230962" w:rsidRDefault="0022326F" w:rsidP="00570E1D">
      <w:pPr>
        <w:tabs>
          <w:tab w:val="left" w:pos="3261"/>
        </w:tabs>
        <w:spacing w:before="40" w:afterLines="40" w:after="96"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1F07C02" wp14:editId="3F1D93F9">
            <wp:extent cx="2339975" cy="1287076"/>
            <wp:effectExtent l="0" t="0" r="3175" b="889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C31AB" w:rsidRPr="00EA22EF" w:rsidRDefault="003C31AB" w:rsidP="003C31AB">
      <w:pPr>
        <w:pStyle w:val="Caption"/>
        <w:ind w:firstLine="0"/>
        <w:rPr>
          <w:b/>
          <w:i w:val="0"/>
          <w:color w:val="auto"/>
          <w:sz w:val="20"/>
          <w:szCs w:val="20"/>
        </w:rPr>
      </w:pPr>
      <w:r w:rsidRPr="00EA22EF">
        <w:rPr>
          <w:b/>
          <w:i w:val="0"/>
          <w:color w:val="auto"/>
          <w:sz w:val="20"/>
          <w:szCs w:val="20"/>
        </w:rPr>
        <w:t xml:space="preserve">Figure </w:t>
      </w:r>
      <w:r w:rsidR="00564604" w:rsidRPr="00EA22EF">
        <w:rPr>
          <w:b/>
          <w:i w:val="0"/>
          <w:color w:val="auto"/>
          <w:sz w:val="20"/>
          <w:szCs w:val="20"/>
        </w:rPr>
        <w:t>3</w:t>
      </w:r>
      <w:r w:rsidRPr="00EA22EF">
        <w:rPr>
          <w:b/>
          <w:i w:val="0"/>
          <w:color w:val="auto"/>
          <w:sz w:val="20"/>
          <w:szCs w:val="20"/>
        </w:rPr>
        <w:t xml:space="preserve">. </w:t>
      </w:r>
      <w:r w:rsidRPr="00EA22EF">
        <w:rPr>
          <w:i w:val="0"/>
          <w:color w:val="auto"/>
          <w:sz w:val="20"/>
          <w:szCs w:val="20"/>
        </w:rPr>
        <w:t>Effect of electrode materials on COD removal efficiency</w:t>
      </w:r>
    </w:p>
    <w:p w:rsidR="003C31AB" w:rsidRDefault="003C31AB" w:rsidP="00570E1D">
      <w:pPr>
        <w:pStyle w:val="ListParagraph"/>
        <w:numPr>
          <w:ilvl w:val="1"/>
          <w:numId w:val="1"/>
        </w:numPr>
        <w:spacing w:before="40" w:afterLines="40" w:after="96" w:line="276" w:lineRule="auto"/>
        <w:jc w:val="both"/>
        <w:rPr>
          <w:rFonts w:ascii="Times New Roman" w:hAnsi="Times New Roman" w:cs="Times New Roman"/>
        </w:rPr>
        <w:sectPr w:rsidR="003C31AB" w:rsidSect="00D30FD1">
          <w:type w:val="continuous"/>
          <w:pgSz w:w="10773" w:h="15309" w:code="1"/>
          <w:pgMar w:top="2268" w:right="1418" w:bottom="2268" w:left="1701" w:header="720" w:footer="720" w:gutter="0"/>
          <w:cols w:num="2" w:space="284"/>
          <w:docGrid w:linePitch="360"/>
        </w:sectPr>
      </w:pPr>
    </w:p>
    <w:p w:rsidR="00230962" w:rsidRPr="00561F44" w:rsidRDefault="00731F6D" w:rsidP="00570E1D">
      <w:pPr>
        <w:pStyle w:val="ListParagraph"/>
        <w:numPr>
          <w:ilvl w:val="1"/>
          <w:numId w:val="1"/>
        </w:numPr>
        <w:spacing w:before="40" w:afterLines="40" w:after="96" w:line="276" w:lineRule="auto"/>
        <w:jc w:val="both"/>
        <w:rPr>
          <w:rFonts w:ascii="Times New Roman" w:hAnsi="Times New Roman" w:cs="Times New Roman"/>
          <w:b/>
          <w:i/>
        </w:rPr>
      </w:pPr>
      <w:r w:rsidRPr="00561F44">
        <w:rPr>
          <w:rFonts w:ascii="Times New Roman" w:hAnsi="Times New Roman" w:cs="Times New Roman"/>
          <w:b/>
          <w:i/>
        </w:rPr>
        <w:lastRenderedPageBreak/>
        <w:t xml:space="preserve"> Effect of inter-electrode distance</w:t>
      </w:r>
    </w:p>
    <w:p w:rsidR="003C31AB" w:rsidRDefault="003C31AB" w:rsidP="00A35E05">
      <w:pPr>
        <w:autoSpaceDE w:val="0"/>
        <w:autoSpaceDN w:val="0"/>
        <w:adjustRightInd w:val="0"/>
        <w:spacing w:before="40" w:afterLines="40" w:after="96" w:line="276" w:lineRule="auto"/>
        <w:ind w:firstLine="567"/>
        <w:jc w:val="both"/>
        <w:rPr>
          <w:rFonts w:ascii="Times New Roman" w:hAnsi="Times New Roman" w:cs="Times New Roman"/>
        </w:rPr>
        <w:sectPr w:rsidR="003C31AB" w:rsidSect="00BF2240">
          <w:type w:val="continuous"/>
          <w:pgSz w:w="10773" w:h="15309" w:code="1"/>
          <w:pgMar w:top="2268" w:right="1418" w:bottom="2268" w:left="1701" w:header="720" w:footer="720" w:gutter="0"/>
          <w:cols w:space="720"/>
          <w:docGrid w:linePitch="360"/>
        </w:sectPr>
      </w:pPr>
    </w:p>
    <w:p w:rsidR="00C04C11" w:rsidRPr="00AA19D2" w:rsidRDefault="009A5879" w:rsidP="00A35E05">
      <w:pPr>
        <w:autoSpaceDE w:val="0"/>
        <w:autoSpaceDN w:val="0"/>
        <w:adjustRightInd w:val="0"/>
        <w:spacing w:before="40" w:afterLines="40" w:after="96" w:line="276" w:lineRule="auto"/>
        <w:ind w:firstLine="567"/>
        <w:jc w:val="both"/>
        <w:rPr>
          <w:rFonts w:ascii="Times New Roman" w:hAnsi="Times New Roman" w:cs="Times New Roman"/>
          <w:spacing w:val="-6"/>
        </w:rPr>
      </w:pPr>
      <w:r>
        <w:rPr>
          <w:rFonts w:ascii="Times New Roman" w:hAnsi="Times New Roman" w:cs="Times New Roman"/>
          <w:spacing w:val="-6"/>
        </w:rPr>
        <w:lastRenderedPageBreak/>
        <w:t xml:space="preserve">When </w:t>
      </w:r>
      <w:r w:rsidR="00C04C11" w:rsidRPr="00AA19D2">
        <w:rPr>
          <w:rFonts w:ascii="Times New Roman" w:hAnsi="Times New Roman" w:cs="Times New Roman"/>
          <w:spacing w:val="-6"/>
        </w:rPr>
        <w:t xml:space="preserve">inter-electrode distance increased, the ohmic loss in relation to the anode and cathode over voltages and the resistance to mass transfer became larger; the kinetics of both charge transfer and the </w:t>
      </w:r>
      <w:r>
        <w:rPr>
          <w:rFonts w:ascii="Times New Roman" w:hAnsi="Times New Roman" w:cs="Times New Roman"/>
          <w:spacing w:val="-6"/>
        </w:rPr>
        <w:t>iron</w:t>
      </w:r>
      <w:r w:rsidR="00C04C11" w:rsidRPr="00AA19D2">
        <w:rPr>
          <w:rFonts w:ascii="Times New Roman" w:hAnsi="Times New Roman" w:cs="Times New Roman"/>
          <w:spacing w:val="-6"/>
        </w:rPr>
        <w:t xml:space="preserve"> oxidation was slowed down. </w:t>
      </w:r>
      <w:r>
        <w:rPr>
          <w:rFonts w:ascii="Times New Roman" w:hAnsi="Times New Roman" w:cs="Times New Roman"/>
          <w:spacing w:val="-6"/>
        </w:rPr>
        <w:t>So</w:t>
      </w:r>
      <w:r w:rsidR="00C04C11" w:rsidRPr="00AA19D2">
        <w:rPr>
          <w:rFonts w:ascii="Times New Roman" w:hAnsi="Times New Roman" w:cs="Times New Roman"/>
          <w:spacing w:val="-6"/>
        </w:rPr>
        <w:t xml:space="preserve">, there was a smaller amount of iron cations at the anode leading to slower formation of coagulants </w:t>
      </w:r>
      <w:r w:rsidR="003D6191">
        <w:rPr>
          <w:rFonts w:ascii="Times New Roman" w:hAnsi="Times New Roman" w:cs="Times New Roman"/>
          <w:spacing w:val="-6"/>
        </w:rPr>
        <w:t>[3</w:t>
      </w:r>
      <w:r w:rsidR="00570E1D" w:rsidRPr="00AA19D2">
        <w:rPr>
          <w:rFonts w:ascii="Times New Roman" w:hAnsi="Times New Roman" w:cs="Times New Roman"/>
          <w:spacing w:val="-6"/>
        </w:rPr>
        <w:t>]</w:t>
      </w:r>
      <w:r w:rsidR="00C04C11" w:rsidRPr="00AA19D2">
        <w:rPr>
          <w:rFonts w:ascii="Times New Roman" w:hAnsi="Times New Roman" w:cs="Times New Roman"/>
          <w:spacing w:val="-6"/>
        </w:rPr>
        <w:t>. This resulted in lower removal efficiency at a larger inter-electrode distance.</w:t>
      </w:r>
    </w:p>
    <w:p w:rsidR="00731F6D" w:rsidRDefault="00731F6D" w:rsidP="00570E1D">
      <w:pPr>
        <w:spacing w:before="40" w:afterLines="40" w:after="96" w:line="276" w:lineRule="auto"/>
        <w:jc w:val="both"/>
        <w:rPr>
          <w:rFonts w:ascii="Times New Roman" w:hAnsi="Times New Roman" w:cs="Times New Roman"/>
        </w:rPr>
      </w:pPr>
      <w:r w:rsidRPr="00570E1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5262C3" wp14:editId="4DA38EEF">
            <wp:extent cx="2282825" cy="1398270"/>
            <wp:effectExtent l="0" t="0" r="3175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C31AB" w:rsidRPr="00EA22EF" w:rsidRDefault="003C31AB" w:rsidP="003C31AB">
      <w:pPr>
        <w:pStyle w:val="Caption"/>
        <w:ind w:firstLine="0"/>
        <w:rPr>
          <w:b/>
          <w:i w:val="0"/>
          <w:color w:val="auto"/>
          <w:sz w:val="20"/>
          <w:szCs w:val="20"/>
        </w:rPr>
      </w:pPr>
      <w:r w:rsidRPr="00EA22EF">
        <w:rPr>
          <w:b/>
          <w:i w:val="0"/>
          <w:color w:val="auto"/>
          <w:sz w:val="20"/>
          <w:szCs w:val="20"/>
        </w:rPr>
        <w:t xml:space="preserve">Figure </w:t>
      </w:r>
      <w:r w:rsidR="00564604" w:rsidRPr="00EA22EF">
        <w:rPr>
          <w:b/>
          <w:i w:val="0"/>
          <w:color w:val="auto"/>
          <w:sz w:val="20"/>
          <w:szCs w:val="20"/>
        </w:rPr>
        <w:t>4</w:t>
      </w:r>
      <w:r w:rsidRPr="00EA22EF">
        <w:rPr>
          <w:b/>
          <w:i w:val="0"/>
          <w:color w:val="auto"/>
          <w:sz w:val="20"/>
          <w:szCs w:val="20"/>
        </w:rPr>
        <w:t xml:space="preserve">. </w:t>
      </w:r>
      <w:r w:rsidRPr="00EA22EF">
        <w:rPr>
          <w:i w:val="0"/>
          <w:color w:val="auto"/>
          <w:sz w:val="20"/>
          <w:szCs w:val="20"/>
        </w:rPr>
        <w:t>Effect of inter-electrode distance on COD removal efficiency</w:t>
      </w:r>
    </w:p>
    <w:p w:rsidR="003C31AB" w:rsidRDefault="003C31AB" w:rsidP="00570E1D">
      <w:pPr>
        <w:pStyle w:val="ListParagraph"/>
        <w:numPr>
          <w:ilvl w:val="0"/>
          <w:numId w:val="1"/>
        </w:numPr>
        <w:spacing w:before="40" w:afterLines="40" w:after="96" w:line="276" w:lineRule="auto"/>
        <w:jc w:val="both"/>
        <w:rPr>
          <w:rFonts w:ascii="Times New Roman" w:hAnsi="Times New Roman" w:cs="Times New Roman"/>
          <w:b/>
        </w:rPr>
        <w:sectPr w:rsidR="003C31AB" w:rsidSect="003C31AB">
          <w:type w:val="continuous"/>
          <w:pgSz w:w="10773" w:h="15309" w:code="1"/>
          <w:pgMar w:top="2268" w:right="1418" w:bottom="2268" w:left="1701" w:header="720" w:footer="720" w:gutter="0"/>
          <w:cols w:num="2" w:space="284"/>
          <w:docGrid w:linePitch="360"/>
        </w:sectPr>
      </w:pPr>
    </w:p>
    <w:p w:rsidR="00731F6D" w:rsidRPr="00570E1D" w:rsidRDefault="00731F6D" w:rsidP="00570E1D">
      <w:pPr>
        <w:pStyle w:val="ListParagraph"/>
        <w:numPr>
          <w:ilvl w:val="0"/>
          <w:numId w:val="1"/>
        </w:numPr>
        <w:spacing w:before="40" w:afterLines="40" w:after="96" w:line="276" w:lineRule="auto"/>
        <w:jc w:val="both"/>
        <w:rPr>
          <w:rFonts w:ascii="Times New Roman" w:hAnsi="Times New Roman" w:cs="Times New Roman"/>
          <w:b/>
        </w:rPr>
      </w:pPr>
      <w:r w:rsidRPr="00570E1D">
        <w:rPr>
          <w:rFonts w:ascii="Times New Roman" w:hAnsi="Times New Roman" w:cs="Times New Roman"/>
          <w:b/>
        </w:rPr>
        <w:lastRenderedPageBreak/>
        <w:t>Conclusion</w:t>
      </w:r>
    </w:p>
    <w:p w:rsidR="00731F6D" w:rsidRPr="00570E1D" w:rsidRDefault="00731F6D" w:rsidP="00A35E05">
      <w:pPr>
        <w:spacing w:before="40" w:afterLines="40" w:after="96" w:line="276" w:lineRule="auto"/>
        <w:ind w:firstLine="567"/>
        <w:jc w:val="both"/>
        <w:rPr>
          <w:rFonts w:ascii="Times New Roman" w:hAnsi="Times New Roman" w:cs="Times New Roman"/>
        </w:rPr>
      </w:pPr>
      <w:r w:rsidRPr="00570E1D">
        <w:rPr>
          <w:rFonts w:ascii="Times New Roman" w:hAnsi="Times New Roman" w:cs="Times New Roman"/>
        </w:rPr>
        <w:t xml:space="preserve">The research shown that the optimum condition for Nam Son leachate treatment by electrocoagulation was obtained as current intensity of 3A, electrolysis time of 40 min, raw pH </w:t>
      </w:r>
      <w:r w:rsidR="00C04C11" w:rsidRPr="00570E1D">
        <w:rPr>
          <w:rFonts w:ascii="Times New Roman" w:hAnsi="Times New Roman" w:cs="Times New Roman"/>
        </w:rPr>
        <w:t xml:space="preserve">(around 8), iron electrodes and inter-electrode distance of 1 cm, </w:t>
      </w:r>
      <w:r w:rsidRPr="00570E1D">
        <w:rPr>
          <w:rFonts w:ascii="Times New Roman" w:hAnsi="Times New Roman" w:cs="Times New Roman"/>
        </w:rPr>
        <w:t>resulting the maximum COD removal efficiencies of 73.21%. In conclusion, electrocoagulation can be applied to leachate pre-treatment.</w:t>
      </w:r>
    </w:p>
    <w:p w:rsidR="00731F6D" w:rsidRPr="00BF2240" w:rsidRDefault="00731F6D" w:rsidP="00570E1D">
      <w:pPr>
        <w:spacing w:before="40" w:afterLines="40" w:after="96" w:line="276" w:lineRule="auto"/>
        <w:jc w:val="both"/>
        <w:rPr>
          <w:rFonts w:ascii="Times New Roman" w:hAnsi="Times New Roman" w:cs="Times New Roman"/>
          <w:b/>
        </w:rPr>
      </w:pPr>
      <w:r w:rsidRPr="00BF2240">
        <w:rPr>
          <w:rFonts w:ascii="Times New Roman" w:hAnsi="Times New Roman" w:cs="Times New Roman"/>
          <w:b/>
        </w:rPr>
        <w:t>References</w:t>
      </w:r>
    </w:p>
    <w:p w:rsidR="00731F6D" w:rsidRPr="009A5879" w:rsidRDefault="003D6191" w:rsidP="00570E1D">
      <w:pPr>
        <w:spacing w:before="40" w:afterLines="40" w:after="96" w:line="276" w:lineRule="auto"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</w:t>
      </w:r>
      <w:r w:rsidR="00C04C11" w:rsidRPr="00A35E05">
        <w:rPr>
          <w:rFonts w:ascii="Times New Roman" w:hAnsi="Times New Roman" w:cs="Times New Roman"/>
          <w:sz w:val="20"/>
          <w:szCs w:val="20"/>
        </w:rPr>
        <w:t xml:space="preserve">] </w:t>
      </w:r>
      <w:r w:rsidR="00C04C11" w:rsidRPr="009A5879">
        <w:rPr>
          <w:rFonts w:ascii="Times New Roman" w:hAnsi="Times New Roman" w:cs="Times New Roman"/>
          <w:spacing w:val="-4"/>
          <w:sz w:val="20"/>
          <w:szCs w:val="20"/>
        </w:rPr>
        <w:t>Linares-Hernández</w:t>
      </w:r>
      <w:r w:rsidR="00A35E05" w:rsidRPr="009A5879">
        <w:rPr>
          <w:rFonts w:ascii="Times New Roman" w:hAnsi="Times New Roman" w:cs="Times New Roman"/>
          <w:spacing w:val="-4"/>
          <w:sz w:val="20"/>
          <w:szCs w:val="20"/>
        </w:rPr>
        <w:t>,</w:t>
      </w:r>
      <w:r w:rsidR="00C04C11" w:rsidRPr="009A5879">
        <w:rPr>
          <w:rFonts w:ascii="Times New Roman" w:hAnsi="Times New Roman" w:cs="Times New Roman"/>
          <w:spacing w:val="-4"/>
          <w:sz w:val="20"/>
          <w:szCs w:val="20"/>
        </w:rPr>
        <w:t xml:space="preserve"> I., Barrera-Díaz</w:t>
      </w:r>
      <w:r w:rsidR="00A35E05" w:rsidRPr="009A5879">
        <w:rPr>
          <w:rFonts w:ascii="Times New Roman" w:hAnsi="Times New Roman" w:cs="Times New Roman"/>
          <w:spacing w:val="-4"/>
          <w:sz w:val="20"/>
          <w:szCs w:val="20"/>
        </w:rPr>
        <w:t>,</w:t>
      </w:r>
      <w:r w:rsidR="00C04C11" w:rsidRPr="009A5879">
        <w:rPr>
          <w:rFonts w:ascii="Times New Roman" w:hAnsi="Times New Roman" w:cs="Times New Roman"/>
          <w:spacing w:val="-4"/>
          <w:sz w:val="20"/>
          <w:szCs w:val="20"/>
        </w:rPr>
        <w:t xml:space="preserve"> C., Roa-Morales</w:t>
      </w:r>
      <w:r w:rsidR="00A35E05" w:rsidRPr="009A5879">
        <w:rPr>
          <w:rFonts w:ascii="Times New Roman" w:hAnsi="Times New Roman" w:cs="Times New Roman"/>
          <w:spacing w:val="-4"/>
          <w:sz w:val="20"/>
          <w:szCs w:val="20"/>
        </w:rPr>
        <w:t>,</w:t>
      </w:r>
      <w:r w:rsidR="00C04C11" w:rsidRPr="009A5879">
        <w:rPr>
          <w:rFonts w:ascii="Times New Roman" w:hAnsi="Times New Roman" w:cs="Times New Roman"/>
          <w:spacing w:val="-4"/>
          <w:sz w:val="20"/>
          <w:szCs w:val="20"/>
        </w:rPr>
        <w:t xml:space="preserve"> G., Bilyeu</w:t>
      </w:r>
      <w:r w:rsidR="00A35E05" w:rsidRPr="009A5879">
        <w:rPr>
          <w:rFonts w:ascii="Times New Roman" w:hAnsi="Times New Roman" w:cs="Times New Roman"/>
          <w:spacing w:val="-4"/>
          <w:sz w:val="20"/>
          <w:szCs w:val="20"/>
        </w:rPr>
        <w:t>,</w:t>
      </w:r>
      <w:r w:rsidR="00C04C11" w:rsidRPr="009A5879">
        <w:rPr>
          <w:rFonts w:ascii="Times New Roman" w:hAnsi="Times New Roman" w:cs="Times New Roman"/>
          <w:spacing w:val="-4"/>
          <w:sz w:val="20"/>
          <w:szCs w:val="20"/>
        </w:rPr>
        <w:t xml:space="preserve"> B. and Ureña-Núñez</w:t>
      </w:r>
      <w:r w:rsidR="00A35E05" w:rsidRPr="009A5879">
        <w:rPr>
          <w:rFonts w:ascii="Times New Roman" w:hAnsi="Times New Roman" w:cs="Times New Roman"/>
          <w:spacing w:val="-4"/>
          <w:sz w:val="20"/>
          <w:szCs w:val="20"/>
        </w:rPr>
        <w:t xml:space="preserve">, F. (2009), </w:t>
      </w:r>
      <w:r w:rsidR="00C04C11" w:rsidRPr="009A5879">
        <w:rPr>
          <w:rFonts w:ascii="Times New Roman" w:hAnsi="Times New Roman" w:cs="Times New Roman"/>
          <w:spacing w:val="-4"/>
          <w:sz w:val="20"/>
          <w:szCs w:val="20"/>
        </w:rPr>
        <w:t>Influence of the anodic material on electrocoagulation performance, Chem. Eng. J</w:t>
      </w:r>
      <w:r w:rsidR="00A35E05" w:rsidRPr="009A5879">
        <w:rPr>
          <w:rFonts w:ascii="Times New Roman" w:hAnsi="Times New Roman" w:cs="Times New Roman"/>
          <w:spacing w:val="-4"/>
          <w:sz w:val="20"/>
          <w:szCs w:val="20"/>
        </w:rPr>
        <w:t>,</w:t>
      </w:r>
      <w:r w:rsidR="00C04C11" w:rsidRPr="009A587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C04C11" w:rsidRPr="009A5879">
        <w:rPr>
          <w:rFonts w:ascii="Times New Roman" w:hAnsi="Times New Roman" w:cs="Times New Roman"/>
          <w:b/>
          <w:spacing w:val="-4"/>
          <w:sz w:val="20"/>
          <w:szCs w:val="20"/>
        </w:rPr>
        <w:t>148</w:t>
      </w:r>
      <w:r w:rsidR="00A35E05" w:rsidRPr="009A5879">
        <w:rPr>
          <w:rFonts w:ascii="Times New Roman" w:hAnsi="Times New Roman" w:cs="Times New Roman"/>
          <w:b/>
          <w:spacing w:val="-4"/>
          <w:sz w:val="20"/>
          <w:szCs w:val="20"/>
        </w:rPr>
        <w:t>,</w:t>
      </w:r>
      <w:r w:rsidR="00C04C11" w:rsidRPr="009A5879">
        <w:rPr>
          <w:rFonts w:ascii="Times New Roman" w:hAnsi="Times New Roman" w:cs="Times New Roman"/>
          <w:spacing w:val="-4"/>
          <w:sz w:val="20"/>
          <w:szCs w:val="20"/>
        </w:rPr>
        <w:t xml:space="preserve"> 97</w:t>
      </w:r>
      <w:r w:rsidR="00C04C11" w:rsidRPr="009A5879">
        <w:rPr>
          <w:rFonts w:ascii="Times New Roman" w:eastAsia="Arial Unicode MS" w:hAnsi="Times New Roman" w:cs="Times New Roman"/>
          <w:spacing w:val="-4"/>
          <w:sz w:val="20"/>
          <w:szCs w:val="20"/>
        </w:rPr>
        <w:t>-</w:t>
      </w:r>
      <w:r w:rsidR="00C04C11" w:rsidRPr="009A5879">
        <w:rPr>
          <w:rFonts w:ascii="Times New Roman" w:hAnsi="Times New Roman" w:cs="Times New Roman"/>
          <w:spacing w:val="-4"/>
          <w:sz w:val="20"/>
          <w:szCs w:val="20"/>
        </w:rPr>
        <w:t>105.</w:t>
      </w:r>
    </w:p>
    <w:p w:rsidR="00570E1D" w:rsidRPr="00A35E05" w:rsidRDefault="003D6191" w:rsidP="003C31AB">
      <w:pPr>
        <w:tabs>
          <w:tab w:val="left" w:pos="3075"/>
        </w:tabs>
        <w:spacing w:before="40" w:afterLines="40" w:after="96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</w:t>
      </w:r>
      <w:r w:rsidR="00570E1D" w:rsidRPr="00A35E05">
        <w:rPr>
          <w:rFonts w:ascii="Times New Roman" w:hAnsi="Times New Roman" w:cs="Times New Roman"/>
          <w:sz w:val="20"/>
          <w:szCs w:val="20"/>
        </w:rPr>
        <w:t>] Li</w:t>
      </w:r>
      <w:r w:rsidR="00A35E05">
        <w:rPr>
          <w:rFonts w:ascii="Times New Roman" w:hAnsi="Times New Roman" w:cs="Times New Roman"/>
          <w:sz w:val="20"/>
          <w:szCs w:val="20"/>
        </w:rPr>
        <w:t>,</w:t>
      </w:r>
      <w:r w:rsidR="00570E1D" w:rsidRPr="00A35E05">
        <w:rPr>
          <w:rFonts w:ascii="Times New Roman" w:hAnsi="Times New Roman" w:cs="Times New Roman"/>
          <w:sz w:val="20"/>
          <w:szCs w:val="20"/>
        </w:rPr>
        <w:t xml:space="preserve"> X., Song</w:t>
      </w:r>
      <w:r w:rsidR="00A35E05">
        <w:rPr>
          <w:rFonts w:ascii="Times New Roman" w:hAnsi="Times New Roman" w:cs="Times New Roman"/>
          <w:sz w:val="20"/>
          <w:szCs w:val="20"/>
        </w:rPr>
        <w:t>,</w:t>
      </w:r>
      <w:r w:rsidR="00570E1D" w:rsidRPr="00A35E05">
        <w:rPr>
          <w:rFonts w:ascii="Times New Roman" w:hAnsi="Times New Roman" w:cs="Times New Roman"/>
          <w:sz w:val="20"/>
          <w:szCs w:val="20"/>
        </w:rPr>
        <w:t xml:space="preserve"> J., Guo</w:t>
      </w:r>
      <w:r w:rsidR="00A35E05">
        <w:rPr>
          <w:rFonts w:ascii="Times New Roman" w:hAnsi="Times New Roman" w:cs="Times New Roman"/>
          <w:sz w:val="20"/>
          <w:szCs w:val="20"/>
        </w:rPr>
        <w:t>,</w:t>
      </w:r>
      <w:r w:rsidR="00570E1D" w:rsidRPr="00A35E05">
        <w:rPr>
          <w:rFonts w:ascii="Times New Roman" w:hAnsi="Times New Roman" w:cs="Times New Roman"/>
          <w:sz w:val="20"/>
          <w:szCs w:val="20"/>
        </w:rPr>
        <w:t xml:space="preserve"> J., Wang</w:t>
      </w:r>
      <w:r w:rsidR="00A35E05">
        <w:rPr>
          <w:rFonts w:ascii="Times New Roman" w:hAnsi="Times New Roman" w:cs="Times New Roman"/>
          <w:sz w:val="20"/>
          <w:szCs w:val="20"/>
        </w:rPr>
        <w:t>,</w:t>
      </w:r>
      <w:r w:rsidR="00570E1D" w:rsidRPr="00A35E05">
        <w:rPr>
          <w:rFonts w:ascii="Times New Roman" w:hAnsi="Times New Roman" w:cs="Times New Roman"/>
          <w:sz w:val="20"/>
          <w:szCs w:val="20"/>
        </w:rPr>
        <w:t xml:space="preserve"> Z. and Feng</w:t>
      </w:r>
      <w:r w:rsidR="00A35E05">
        <w:rPr>
          <w:rFonts w:ascii="Times New Roman" w:hAnsi="Times New Roman" w:cs="Times New Roman"/>
          <w:sz w:val="20"/>
          <w:szCs w:val="20"/>
        </w:rPr>
        <w:t xml:space="preserve">, Q. (2011), </w:t>
      </w:r>
      <w:r w:rsidR="00570E1D" w:rsidRPr="00A35E05">
        <w:rPr>
          <w:rFonts w:ascii="Times New Roman" w:hAnsi="Times New Roman" w:cs="Times New Roman"/>
          <w:sz w:val="20"/>
          <w:szCs w:val="20"/>
        </w:rPr>
        <w:t>Landfill leachate tre</w:t>
      </w:r>
      <w:r w:rsidR="00A35E05">
        <w:rPr>
          <w:rFonts w:ascii="Times New Roman" w:hAnsi="Times New Roman" w:cs="Times New Roman"/>
          <w:sz w:val="20"/>
          <w:szCs w:val="20"/>
        </w:rPr>
        <w:t>atment using electrocoagulation,</w:t>
      </w:r>
      <w:r w:rsidR="00570E1D" w:rsidRPr="00A35E05">
        <w:rPr>
          <w:rFonts w:ascii="Times New Roman" w:hAnsi="Times New Roman" w:cs="Times New Roman"/>
          <w:sz w:val="20"/>
          <w:szCs w:val="20"/>
        </w:rPr>
        <w:t xml:space="preserve"> Procedia Environmental Sciences</w:t>
      </w:r>
      <w:r w:rsidR="00A35E05">
        <w:rPr>
          <w:rFonts w:ascii="Times New Roman" w:hAnsi="Times New Roman" w:cs="Times New Roman"/>
          <w:sz w:val="20"/>
          <w:szCs w:val="20"/>
        </w:rPr>
        <w:t>,</w:t>
      </w:r>
      <w:r w:rsidR="00570E1D" w:rsidRPr="00A35E05">
        <w:rPr>
          <w:rFonts w:ascii="Times New Roman" w:hAnsi="Times New Roman" w:cs="Times New Roman"/>
          <w:sz w:val="20"/>
          <w:szCs w:val="20"/>
        </w:rPr>
        <w:t xml:space="preserve"> </w:t>
      </w:r>
      <w:r w:rsidR="00570E1D" w:rsidRPr="00A35E05">
        <w:rPr>
          <w:rFonts w:ascii="Times New Roman" w:hAnsi="Times New Roman" w:cs="Times New Roman"/>
          <w:b/>
          <w:sz w:val="20"/>
          <w:szCs w:val="20"/>
        </w:rPr>
        <w:t>10</w:t>
      </w:r>
      <w:r w:rsidR="00A35E05">
        <w:rPr>
          <w:rFonts w:ascii="Times New Roman" w:hAnsi="Times New Roman" w:cs="Times New Roman"/>
          <w:sz w:val="20"/>
          <w:szCs w:val="20"/>
        </w:rPr>
        <w:t xml:space="preserve">, </w:t>
      </w:r>
      <w:r w:rsidR="00570E1D" w:rsidRPr="00A35E05">
        <w:rPr>
          <w:rFonts w:ascii="Times New Roman" w:hAnsi="Times New Roman" w:cs="Times New Roman"/>
          <w:sz w:val="20"/>
          <w:szCs w:val="20"/>
        </w:rPr>
        <w:t>1159-1164.</w:t>
      </w:r>
    </w:p>
    <w:p w:rsidR="00731F6D" w:rsidRPr="003D6191" w:rsidRDefault="003D6191" w:rsidP="003D6191">
      <w:pPr>
        <w:tabs>
          <w:tab w:val="left" w:pos="3075"/>
        </w:tabs>
        <w:spacing w:before="40" w:afterLines="40" w:after="96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</w:t>
      </w:r>
      <w:r w:rsidR="00570E1D" w:rsidRPr="00A35E05">
        <w:rPr>
          <w:rFonts w:ascii="Times New Roman" w:hAnsi="Times New Roman" w:cs="Times New Roman"/>
          <w:sz w:val="20"/>
          <w:szCs w:val="20"/>
        </w:rPr>
        <w:t xml:space="preserve">] Ghosh, D., Solanki, H., Purkait, M.K. </w:t>
      </w:r>
      <w:r w:rsidR="00BF2240">
        <w:rPr>
          <w:rFonts w:ascii="Times New Roman" w:hAnsi="Times New Roman" w:cs="Times New Roman"/>
          <w:sz w:val="20"/>
          <w:szCs w:val="20"/>
        </w:rPr>
        <w:t>(2008),</w:t>
      </w:r>
      <w:r w:rsidR="00570E1D" w:rsidRPr="00A35E05">
        <w:rPr>
          <w:rFonts w:ascii="Times New Roman" w:hAnsi="Times New Roman" w:cs="Times New Roman"/>
          <w:sz w:val="20"/>
          <w:szCs w:val="20"/>
        </w:rPr>
        <w:t xml:space="preserve"> Removal of Fe (II) from tap water by electrocoagulation technique. J. Hazard. Mater. </w:t>
      </w:r>
      <w:r w:rsidR="00570E1D" w:rsidRPr="00BF2240">
        <w:rPr>
          <w:rFonts w:ascii="Times New Roman" w:hAnsi="Times New Roman" w:cs="Times New Roman"/>
          <w:b/>
          <w:sz w:val="20"/>
          <w:szCs w:val="20"/>
        </w:rPr>
        <w:t>155</w:t>
      </w:r>
      <w:r>
        <w:rPr>
          <w:rFonts w:ascii="Times New Roman" w:hAnsi="Times New Roman" w:cs="Times New Roman"/>
          <w:sz w:val="20"/>
          <w:szCs w:val="20"/>
        </w:rPr>
        <w:t>, 135–143.</w:t>
      </w:r>
    </w:p>
    <w:sectPr w:rsidR="00731F6D" w:rsidRPr="003D6191" w:rsidSect="00BF2240">
      <w:type w:val="continuous"/>
      <w:pgSz w:w="10773" w:h="15309" w:code="1"/>
      <w:pgMar w:top="2268" w:right="1418" w:bottom="22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DD7" w:rsidRDefault="004B5DD7" w:rsidP="000B1B67">
      <w:pPr>
        <w:spacing w:after="0" w:line="240" w:lineRule="auto"/>
      </w:pPr>
      <w:r>
        <w:separator/>
      </w:r>
    </w:p>
  </w:endnote>
  <w:endnote w:type="continuationSeparator" w:id="0">
    <w:p w:rsidR="004B5DD7" w:rsidRDefault="004B5DD7" w:rsidP="000B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Gulliv-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DD7" w:rsidRDefault="004B5DD7" w:rsidP="000B1B67">
      <w:pPr>
        <w:spacing w:after="0" w:line="240" w:lineRule="auto"/>
      </w:pPr>
      <w:r>
        <w:separator/>
      </w:r>
    </w:p>
  </w:footnote>
  <w:footnote w:type="continuationSeparator" w:id="0">
    <w:p w:rsidR="004B5DD7" w:rsidRDefault="004B5DD7" w:rsidP="000B1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66D2"/>
    <w:multiLevelType w:val="hybridMultilevel"/>
    <w:tmpl w:val="805235FC"/>
    <w:lvl w:ilvl="0" w:tplc="8C8EA236">
      <w:start w:val="6274"/>
      <w:numFmt w:val="decimal"/>
      <w:lvlText w:val="%1"/>
      <w:lvlJc w:val="left"/>
      <w:pPr>
        <w:ind w:left="840" w:hanging="48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2254F"/>
    <w:multiLevelType w:val="hybridMultilevel"/>
    <w:tmpl w:val="37D65FEC"/>
    <w:lvl w:ilvl="0" w:tplc="CE541274">
      <w:start w:val="2"/>
      <w:numFmt w:val="decimal"/>
      <w:lvlText w:val="%1"/>
      <w:lvlJc w:val="left"/>
      <w:pPr>
        <w:ind w:left="780" w:hanging="4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8732A"/>
    <w:multiLevelType w:val="hybridMultilevel"/>
    <w:tmpl w:val="B3DEBAD6"/>
    <w:lvl w:ilvl="0" w:tplc="C6427554">
      <w:start w:val="8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25D92"/>
    <w:multiLevelType w:val="multilevel"/>
    <w:tmpl w:val="0C7A2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AC80B34"/>
    <w:multiLevelType w:val="hybridMultilevel"/>
    <w:tmpl w:val="24B23194"/>
    <w:lvl w:ilvl="0" w:tplc="3A1A41D6">
      <w:start w:val="6247"/>
      <w:numFmt w:val="decimal"/>
      <w:lvlText w:val="%1"/>
      <w:lvlJc w:val="left"/>
      <w:pPr>
        <w:ind w:left="780" w:hanging="4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31575"/>
    <w:multiLevelType w:val="hybridMultilevel"/>
    <w:tmpl w:val="E0AE3532"/>
    <w:lvl w:ilvl="0" w:tplc="840AD70E">
      <w:start w:val="6274"/>
      <w:numFmt w:val="decimal"/>
      <w:lvlText w:val="%1"/>
      <w:lvlJc w:val="left"/>
      <w:pPr>
        <w:ind w:left="840" w:hanging="48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33"/>
    <w:rsid w:val="000B1B67"/>
    <w:rsid w:val="000E4E47"/>
    <w:rsid w:val="00175E98"/>
    <w:rsid w:val="0022326F"/>
    <w:rsid w:val="00230962"/>
    <w:rsid w:val="00244A47"/>
    <w:rsid w:val="002E2933"/>
    <w:rsid w:val="003C31AB"/>
    <w:rsid w:val="003D6191"/>
    <w:rsid w:val="003E0519"/>
    <w:rsid w:val="004478E7"/>
    <w:rsid w:val="004B5DD7"/>
    <w:rsid w:val="005128D1"/>
    <w:rsid w:val="00561F44"/>
    <w:rsid w:val="00564604"/>
    <w:rsid w:val="00570E1D"/>
    <w:rsid w:val="00731F6D"/>
    <w:rsid w:val="007417D0"/>
    <w:rsid w:val="007B6C33"/>
    <w:rsid w:val="008215CF"/>
    <w:rsid w:val="008C5920"/>
    <w:rsid w:val="0092297A"/>
    <w:rsid w:val="00955039"/>
    <w:rsid w:val="009A5879"/>
    <w:rsid w:val="00A35E05"/>
    <w:rsid w:val="00AA19D2"/>
    <w:rsid w:val="00AA60EF"/>
    <w:rsid w:val="00B0240E"/>
    <w:rsid w:val="00BF2240"/>
    <w:rsid w:val="00C04C11"/>
    <w:rsid w:val="00C2273F"/>
    <w:rsid w:val="00C76260"/>
    <w:rsid w:val="00CC3C30"/>
    <w:rsid w:val="00CE5E0E"/>
    <w:rsid w:val="00D30FD1"/>
    <w:rsid w:val="00DD2DFB"/>
    <w:rsid w:val="00DD48A5"/>
    <w:rsid w:val="00EA22EF"/>
    <w:rsid w:val="00FC79BE"/>
    <w:rsid w:val="00FD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8C8BC-C3AD-42E6-A195-97901237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A47"/>
    <w:pPr>
      <w:keepNext/>
      <w:keepLine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C3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4A47"/>
    <w:rPr>
      <w:rFonts w:ascii="Times New Roman" w:eastAsia="Times New Roman" w:hAnsi="Times New Roman" w:cs="Times New Roman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B024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240E"/>
    <w:pPr>
      <w:spacing w:before="80" w:after="200" w:line="240" w:lineRule="auto"/>
      <w:ind w:firstLine="454"/>
      <w:jc w:val="both"/>
    </w:pPr>
    <w:rPr>
      <w:rFonts w:ascii="Times New Roman" w:eastAsia="Calibri" w:hAnsi="Times New Roman" w:cs="Times New Roman"/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CC3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0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1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67"/>
  </w:style>
  <w:style w:type="paragraph" w:styleId="Footer">
    <w:name w:val="footer"/>
    <w:basedOn w:val="Normal"/>
    <w:link w:val="FooterChar"/>
    <w:uiPriority w:val="99"/>
    <w:unhideWhenUsed/>
    <w:rsid w:val="000B1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73;&#7873;%20t&#224;i%20keo%20t&#7909;%20&#273;i&#7879;n%20h&#243;a_Vast\S&#7889;%20li&#7879;u%20&#273;&#7873;%20t&#224;i\EC_Solution%202_CO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73;&#7873;%20t&#224;i%20keo%20t&#7909;%20&#273;i&#7879;n%20h&#243;a_Vast\S&#7889;%20li&#7879;u%20&#273;&#7873;%20t&#224;i\EC_Solution%202_CO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73;&#7873;%20t&#224;i%20keo%20t&#7909;%20&#273;i&#7879;n%20h&#243;a_Vast\S&#7889;%20li&#7879;u%20&#273;&#7873;%20t&#224;i\EC_Solution%202_CO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73;&#7873;%20t&#224;i%20keo%20t&#7909;%20&#273;i&#7879;n%20h&#243;a_Vast\k&#7871;t%20qu&#7843;%20cho%20sinh%20vi&#234;n\COD_&#273;i&#7879;n%20c&#7921;c%20s&#7855;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712261883139775"/>
          <c:y val="7.949747854551889E-2"/>
          <c:w val="0.77340099787390904"/>
          <c:h val="0.72105382375148308"/>
        </c:manualLayout>
      </c:layout>
      <c:scatterChart>
        <c:scatterStyle val="smoothMarker"/>
        <c:varyColors val="0"/>
        <c:ser>
          <c:idx val="1"/>
          <c:order val="0"/>
          <c:tx>
            <c:v>4A</c:v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3"/>
            <c:spPr>
              <a:noFill/>
              <a:ln w="6350">
                <a:solidFill>
                  <a:schemeClr val="accent2"/>
                </a:solidFill>
              </a:ln>
              <a:effectLst/>
            </c:spPr>
          </c:marker>
          <c:xVal>
            <c:numRef>
              <c:f>'COD_time and inensity factors'!$J$3:$J$9</c:f>
              <c:numCache>
                <c:formatCode>General</c:formatCode>
                <c:ptCount val="7"/>
                <c:pt idx="0" formatCode="0.0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60</c:v>
                </c:pt>
                <c:pt idx="6">
                  <c:v>80</c:v>
                </c:pt>
              </c:numCache>
            </c:numRef>
          </c:xVal>
          <c:yVal>
            <c:numRef>
              <c:f>'COD_time and inensity factors'!$I$3:$I$9</c:f>
              <c:numCache>
                <c:formatCode>0.00</c:formatCode>
                <c:ptCount val="7"/>
                <c:pt idx="0">
                  <c:v>0</c:v>
                </c:pt>
                <c:pt idx="1">
                  <c:v>46.428571428571466</c:v>
                </c:pt>
                <c:pt idx="2">
                  <c:v>64.285714285714263</c:v>
                </c:pt>
                <c:pt idx="3">
                  <c:v>74.999999999999986</c:v>
                </c:pt>
                <c:pt idx="4">
                  <c:v>78.571428571428555</c:v>
                </c:pt>
                <c:pt idx="5">
                  <c:v>80.357142857142875</c:v>
                </c:pt>
                <c:pt idx="6">
                  <c:v>82.142857142857125</c:v>
                </c:pt>
              </c:numCache>
            </c:numRef>
          </c:yVal>
          <c:smooth val="1"/>
        </c:ser>
        <c:ser>
          <c:idx val="0"/>
          <c:order val="1"/>
          <c:tx>
            <c:v>3A</c:v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'COD_time and inensity factors'!$J$10:$J$16</c:f>
              <c:numCache>
                <c:formatCode>General</c:formatCode>
                <c:ptCount val="7"/>
                <c:pt idx="0" formatCode="0.0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60</c:v>
                </c:pt>
                <c:pt idx="6">
                  <c:v>80</c:v>
                </c:pt>
              </c:numCache>
            </c:numRef>
          </c:xVal>
          <c:yVal>
            <c:numRef>
              <c:f>'COD_time and inensity factors'!$I$10:$I$16</c:f>
              <c:numCache>
                <c:formatCode>0.00</c:formatCode>
                <c:ptCount val="7"/>
                <c:pt idx="0">
                  <c:v>0</c:v>
                </c:pt>
                <c:pt idx="1">
                  <c:v>42.857142857142804</c:v>
                </c:pt>
                <c:pt idx="2">
                  <c:v>58.928571428571445</c:v>
                </c:pt>
                <c:pt idx="3">
                  <c:v>69.642857142857153</c:v>
                </c:pt>
                <c:pt idx="4">
                  <c:v>73.214285714285651</c:v>
                </c:pt>
                <c:pt idx="5">
                  <c:v>76.785714285714306</c:v>
                </c:pt>
                <c:pt idx="6">
                  <c:v>79.285714285714178</c:v>
                </c:pt>
              </c:numCache>
            </c:numRef>
          </c:yVal>
          <c:smooth val="1"/>
        </c:ser>
        <c:ser>
          <c:idx val="2"/>
          <c:order val="2"/>
          <c:tx>
            <c:v>2.5A</c:v>
          </c:tx>
          <c:spPr>
            <a:ln w="6350" cap="rnd">
              <a:solidFill>
                <a:srgbClr val="00B050"/>
              </a:solidFill>
              <a:round/>
            </a:ln>
            <a:effectLst/>
          </c:spPr>
          <c:marker>
            <c:symbol val="triangle"/>
            <c:size val="3"/>
            <c:spPr>
              <a:solidFill>
                <a:schemeClr val="accent3"/>
              </a:solidFill>
              <a:ln w="6350">
                <a:solidFill>
                  <a:srgbClr val="00B050"/>
                </a:solidFill>
              </a:ln>
              <a:effectLst/>
            </c:spPr>
          </c:marker>
          <c:xVal>
            <c:numRef>
              <c:f>'COD_time and inensity factors'!$J$17:$J$23</c:f>
              <c:numCache>
                <c:formatCode>General</c:formatCode>
                <c:ptCount val="7"/>
                <c:pt idx="0" formatCode="0.0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60</c:v>
                </c:pt>
                <c:pt idx="6">
                  <c:v>80</c:v>
                </c:pt>
              </c:numCache>
            </c:numRef>
          </c:xVal>
          <c:yVal>
            <c:numRef>
              <c:f>'COD_time and inensity factors'!$I$17:$I$23</c:f>
              <c:numCache>
                <c:formatCode>0.00</c:formatCode>
                <c:ptCount val="7"/>
                <c:pt idx="0">
                  <c:v>0</c:v>
                </c:pt>
                <c:pt idx="1">
                  <c:v>32.142857142857096</c:v>
                </c:pt>
                <c:pt idx="2">
                  <c:v>49.999999999999972</c:v>
                </c:pt>
                <c:pt idx="3">
                  <c:v>60.71428571428568</c:v>
                </c:pt>
                <c:pt idx="4">
                  <c:v>67.857142857142762</c:v>
                </c:pt>
                <c:pt idx="5">
                  <c:v>69.642857142857153</c:v>
                </c:pt>
                <c:pt idx="6">
                  <c:v>73.214285714285651</c:v>
                </c:pt>
              </c:numCache>
            </c:numRef>
          </c:yVal>
          <c:smooth val="1"/>
        </c:ser>
        <c:ser>
          <c:idx val="3"/>
          <c:order val="3"/>
          <c:tx>
            <c:v>2A</c:v>
          </c:tx>
          <c:spPr>
            <a:ln w="63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rgbClr val="FF0000"/>
              </a:solidFill>
              <a:ln w="6350">
                <a:solidFill>
                  <a:srgbClr val="FF0000"/>
                </a:solidFill>
              </a:ln>
              <a:effectLst/>
            </c:spPr>
          </c:marker>
          <c:xVal>
            <c:numRef>
              <c:f>'COD_time and inensity factors'!$J$24:$J$30</c:f>
              <c:numCache>
                <c:formatCode>General</c:formatCode>
                <c:ptCount val="7"/>
                <c:pt idx="0" formatCode="0.0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60</c:v>
                </c:pt>
                <c:pt idx="6">
                  <c:v>80</c:v>
                </c:pt>
              </c:numCache>
            </c:numRef>
          </c:xVal>
          <c:yVal>
            <c:numRef>
              <c:f>'COD_time and inensity factors'!$I$24:$I$30</c:f>
              <c:numCache>
                <c:formatCode>0.00</c:formatCode>
                <c:ptCount val="7"/>
                <c:pt idx="0">
                  <c:v>0</c:v>
                </c:pt>
                <c:pt idx="1">
                  <c:v>34.375</c:v>
                </c:pt>
                <c:pt idx="2">
                  <c:v>53.125</c:v>
                </c:pt>
                <c:pt idx="3">
                  <c:v>57.812500000000043</c:v>
                </c:pt>
                <c:pt idx="4">
                  <c:v>59.375000000000014</c:v>
                </c:pt>
                <c:pt idx="5">
                  <c:v>62.500000000000085</c:v>
                </c:pt>
                <c:pt idx="6">
                  <c:v>62.500000000000085</c:v>
                </c:pt>
              </c:numCache>
            </c:numRef>
          </c:yVal>
          <c:smooth val="1"/>
        </c:ser>
        <c:ser>
          <c:idx val="4"/>
          <c:order val="4"/>
          <c:tx>
            <c:v>1A</c:v>
          </c:tx>
          <c:spPr>
            <a:ln w="6350" cap="rnd">
              <a:solidFill>
                <a:srgbClr val="002060"/>
              </a:solidFill>
              <a:round/>
            </a:ln>
            <a:effectLst/>
          </c:spPr>
          <c:marker>
            <c:symbol val="dash"/>
            <c:size val="5"/>
            <c:spPr>
              <a:solidFill>
                <a:schemeClr val="accent5"/>
              </a:solidFill>
              <a:ln w="6350">
                <a:solidFill>
                  <a:srgbClr val="002060"/>
                </a:solidFill>
              </a:ln>
              <a:effectLst/>
            </c:spPr>
          </c:marker>
          <c:xVal>
            <c:numRef>
              <c:f>'COD_time and inensity factors'!$J$31:$J$37</c:f>
              <c:numCache>
                <c:formatCode>General</c:formatCode>
                <c:ptCount val="7"/>
                <c:pt idx="0" formatCode="0.0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60</c:v>
                </c:pt>
                <c:pt idx="6">
                  <c:v>80</c:v>
                </c:pt>
              </c:numCache>
            </c:numRef>
          </c:xVal>
          <c:yVal>
            <c:numRef>
              <c:f>'COD_time and inensity factors'!$I$31:$I$37</c:f>
              <c:numCache>
                <c:formatCode>0.00</c:formatCode>
                <c:ptCount val="7"/>
                <c:pt idx="0">
                  <c:v>0</c:v>
                </c:pt>
                <c:pt idx="1">
                  <c:v>26.666666666666718</c:v>
                </c:pt>
                <c:pt idx="2">
                  <c:v>43.333333333333321</c:v>
                </c:pt>
                <c:pt idx="3">
                  <c:v>46.666666666666728</c:v>
                </c:pt>
                <c:pt idx="4">
                  <c:v>50</c:v>
                </c:pt>
                <c:pt idx="5">
                  <c:v>53.333333333333414</c:v>
                </c:pt>
                <c:pt idx="6">
                  <c:v>53.333333333333414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6498032"/>
        <c:axId val="298055856"/>
      </c:scatterChart>
      <c:valAx>
        <c:axId val="306498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Operating time (min)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98055856"/>
        <c:crosses val="autoZero"/>
        <c:crossBetween val="midCat"/>
        <c:majorUnit val="20"/>
      </c:valAx>
      <c:valAx>
        <c:axId val="29805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COD removal efficiency (%)</a:t>
                </a:r>
              </a:p>
            </c:rich>
          </c:tx>
          <c:layout>
            <c:manualLayout>
              <c:xMode val="edge"/>
              <c:yMode val="edge"/>
              <c:x val="4.2453445015438194E-3"/>
              <c:y val="5.841282034867592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06498032"/>
        <c:crosses val="autoZero"/>
        <c:crossBetween val="midCat"/>
        <c:majorUnit val="3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57597837583735"/>
          <c:y val="0.46245796382923171"/>
          <c:w val="0.27440677785019069"/>
          <c:h val="0.3302462242159802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1986260536971547"/>
          <c:y val="9.593594308202831E-2"/>
          <c:w val="0.72282396179446362"/>
          <c:h val="0.75409399650199838"/>
        </c:manualLayout>
      </c:layout>
      <c:scatterChart>
        <c:scatterStyle val="lineMarker"/>
        <c:varyColors val="0"/>
        <c:ser>
          <c:idx val="0"/>
          <c:order val="0"/>
          <c:tx>
            <c:v>COD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4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'COD_ pH factor'!$L$5:$L$10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'COD_ pH factor'!$M$5:$M$10</c:f>
              <c:numCache>
                <c:formatCode>0.00</c:formatCode>
                <c:ptCount val="6"/>
                <c:pt idx="0">
                  <c:v>49.99999999999995</c:v>
                </c:pt>
                <c:pt idx="1">
                  <c:v>69.615384615384542</c:v>
                </c:pt>
                <c:pt idx="2">
                  <c:v>73.913043478260846</c:v>
                </c:pt>
                <c:pt idx="3">
                  <c:v>71.999999999999986</c:v>
                </c:pt>
                <c:pt idx="4">
                  <c:v>62.903225806451665</c:v>
                </c:pt>
                <c:pt idx="5" formatCode="General">
                  <c:v>43.749999999999993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9345200"/>
        <c:axId val="375669568"/>
      </c:scatterChart>
      <c:valAx>
        <c:axId val="309345200"/>
        <c:scaling>
          <c:orientation val="minMax"/>
          <c:max val="10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pH</a:t>
                </a:r>
              </a:p>
            </c:rich>
          </c:tx>
          <c:layout>
            <c:manualLayout>
              <c:xMode val="edge"/>
              <c:yMode val="edge"/>
              <c:x val="0.51511575978375823"/>
              <c:y val="0.868068442827340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75669568"/>
        <c:crosses val="autoZero"/>
        <c:crossBetween val="midCat"/>
      </c:valAx>
      <c:valAx>
        <c:axId val="37566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COD removal efficiency (%)</a:t>
                </a:r>
              </a:p>
            </c:rich>
          </c:tx>
          <c:layout>
            <c:manualLayout>
              <c:xMode val="edge"/>
              <c:yMode val="edge"/>
              <c:x val="9.8693362108569528E-3"/>
              <c:y val="0.142471255609177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09345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549909721257708"/>
          <c:y val="6.74557725738828E-2"/>
          <c:w val="0.73262834004636801"/>
          <c:h val="0.61304453420595151"/>
        </c:manualLayout>
      </c:layout>
      <c:scatterChart>
        <c:scatterStyle val="lineMarker"/>
        <c:varyColors val="0"/>
        <c:ser>
          <c:idx val="0"/>
          <c:order val="0"/>
          <c:tx>
            <c:v>Al-COD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triangle"/>
            <c:size val="4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'COD_material factors'!$I$5:$I$11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60</c:v>
                </c:pt>
                <c:pt idx="6">
                  <c:v>80</c:v>
                </c:pt>
              </c:numCache>
            </c:numRef>
          </c:xVal>
          <c:yVal>
            <c:numRef>
              <c:f>'COD_material factors'!$H$5:$H$11</c:f>
              <c:numCache>
                <c:formatCode>0.00</c:formatCode>
                <c:ptCount val="7"/>
                <c:pt idx="0">
                  <c:v>0</c:v>
                </c:pt>
                <c:pt idx="1">
                  <c:v>6.8965517241379546</c:v>
                </c:pt>
                <c:pt idx="2">
                  <c:v>17.241379310344833</c:v>
                </c:pt>
                <c:pt idx="3">
                  <c:v>22.413793103448253</c:v>
                </c:pt>
                <c:pt idx="4">
                  <c:v>37.931034482758577</c:v>
                </c:pt>
                <c:pt idx="5">
                  <c:v>44.827586206896505</c:v>
                </c:pt>
                <c:pt idx="6">
                  <c:v>44.827586206896505</c:v>
                </c:pt>
              </c:numCache>
            </c:numRef>
          </c:yVal>
          <c:smooth val="0"/>
        </c:ser>
        <c:ser>
          <c:idx val="1"/>
          <c:order val="1"/>
          <c:tx>
            <c:v>Fe-COD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4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'COD_material factors'!$I$16:$I$22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60</c:v>
                </c:pt>
                <c:pt idx="6">
                  <c:v>80</c:v>
                </c:pt>
              </c:numCache>
            </c:numRef>
          </c:xVal>
          <c:yVal>
            <c:numRef>
              <c:f>'COD_material factors'!$H$16:$H$22</c:f>
              <c:numCache>
                <c:formatCode>0.00</c:formatCode>
                <c:ptCount val="7"/>
                <c:pt idx="0">
                  <c:v>0</c:v>
                </c:pt>
                <c:pt idx="1">
                  <c:v>43.333333333333286</c:v>
                </c:pt>
                <c:pt idx="2">
                  <c:v>59.999999999999979</c:v>
                </c:pt>
                <c:pt idx="3">
                  <c:v>66.666666666666657</c:v>
                </c:pt>
                <c:pt idx="4">
                  <c:v>69.999999999999915</c:v>
                </c:pt>
                <c:pt idx="5">
                  <c:v>71.333333333333243</c:v>
                </c:pt>
                <c:pt idx="6">
                  <c:v>71.333333333333243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672368"/>
        <c:axId val="375672928"/>
      </c:scatterChart>
      <c:valAx>
        <c:axId val="375672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Operating time (mins)</a:t>
                </a:r>
              </a:p>
            </c:rich>
          </c:tx>
          <c:layout>
            <c:manualLayout>
              <c:xMode val="edge"/>
              <c:yMode val="edge"/>
              <c:x val="0.2946488744537869"/>
              <c:y val="0.797052357091727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75672928"/>
        <c:crosses val="autoZero"/>
        <c:crossBetween val="midCat"/>
        <c:majorUnit val="20"/>
      </c:valAx>
      <c:valAx>
        <c:axId val="37567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Removal efficiency (%)</a:t>
                </a:r>
              </a:p>
            </c:rich>
          </c:tx>
          <c:layout>
            <c:manualLayout>
              <c:xMode val="edge"/>
              <c:yMode val="edge"/>
              <c:x val="6.6791311872990101E-3"/>
              <c:y val="9.021835410832142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75672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4851825340014316"/>
          <c:y val="0.91598675120006201"/>
          <c:w val="0.68189403732945864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28146266139542"/>
          <c:y val="7.8431372549019607E-2"/>
          <c:w val="0.7202304162605544"/>
          <c:h val="0.6833988799528401"/>
        </c:manualLayout>
      </c:layout>
      <c:scatterChart>
        <c:scatterStyle val="lineMarker"/>
        <c:varyColors val="0"/>
        <c:ser>
          <c:idx val="0"/>
          <c:order val="0"/>
          <c:tx>
            <c:v>COD removal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('A.h của khoảng cách điện cực'!$B$2,'A.h của khoảng cách điện cực'!$B$3,'A.h của khoảng cách điện cực'!$B$5,'A.h của khoảng cách điện cực'!$B$7)</c:f>
              <c:strCache>
                <c:ptCount val="4"/>
                <c:pt idx="0">
                  <c:v>7 cm</c:v>
                </c:pt>
                <c:pt idx="1">
                  <c:v>5cm</c:v>
                </c:pt>
                <c:pt idx="2">
                  <c:v>3 cm</c:v>
                </c:pt>
                <c:pt idx="3">
                  <c:v>1 cm</c:v>
                </c:pt>
              </c:strCache>
            </c:strRef>
          </c:xVal>
          <c:yVal>
            <c:numRef>
              <c:f>('A.h của khoảng cách điện cực'!$L$2,'A.h của khoảng cách điện cực'!$L$4,'A.h của khoảng cách điện cực'!$L$6,'A.h của khoảng cách điện cực'!$L$8)</c:f>
              <c:numCache>
                <c:formatCode>0.00</c:formatCode>
                <c:ptCount val="4"/>
                <c:pt idx="0">
                  <c:v>45.652173913043484</c:v>
                </c:pt>
                <c:pt idx="1">
                  <c:v>50.000000000000043</c:v>
                </c:pt>
                <c:pt idx="2">
                  <c:v>63.70967741935489</c:v>
                </c:pt>
                <c:pt idx="3">
                  <c:v>67.692307692307736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675168"/>
        <c:axId val="375675728"/>
      </c:scatterChart>
      <c:valAx>
        <c:axId val="375675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Inter-electrode distance,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75675728"/>
        <c:crosses val="autoZero"/>
        <c:crossBetween val="midCat"/>
        <c:majorUnit val="1"/>
      </c:valAx>
      <c:valAx>
        <c:axId val="37567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COD removal efficiency, %</a:t>
                </a:r>
              </a:p>
            </c:rich>
          </c:tx>
          <c:layout>
            <c:manualLayout>
              <c:xMode val="edge"/>
              <c:yMode val="edge"/>
              <c:x val="2.5132456495789209E-2"/>
              <c:y val="6.872778610621917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75675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BC38F-1C8D-4AF2-A9AE-AC156C01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2017-06-13T09:45:00Z</dcterms:created>
  <dcterms:modified xsi:type="dcterms:W3CDTF">2017-06-28T16:52:00Z</dcterms:modified>
</cp:coreProperties>
</file>