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319" w:rsidRDefault="00B11319" w:rsidP="00B11319">
      <w:pPr>
        <w:spacing w:before="40" w:after="40" w:line="276" w:lineRule="auto"/>
        <w:jc w:val="both"/>
        <w:rPr>
          <w:lang w:val="vi-VN"/>
        </w:rPr>
      </w:pPr>
    </w:p>
    <w:p w:rsidR="00B11319" w:rsidRPr="00F94CFD" w:rsidRDefault="00B11319" w:rsidP="00806582">
      <w:pPr>
        <w:pStyle w:val="IWAPaperTitle"/>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Trihalomethanes</w:t>
      </w:r>
      <w:proofErr w:type="spellEnd"/>
      <w:r>
        <w:rPr>
          <w:rFonts w:ascii="Times New Roman" w:eastAsia="Times New Roman" w:hAnsi="Times New Roman" w:cs="Times New Roman"/>
          <w:sz w:val="26"/>
          <w:szCs w:val="26"/>
        </w:rPr>
        <w:t xml:space="preserve"> (THMs) Formation in Groundwater and </w:t>
      </w:r>
      <w:r w:rsidR="00806582">
        <w:rPr>
          <w:rFonts w:ascii="Times New Roman" w:eastAsia="Times New Roman" w:hAnsi="Times New Roman" w:cs="Times New Roman"/>
          <w:sz w:val="26"/>
          <w:szCs w:val="26"/>
        </w:rPr>
        <w:t>Surface</w:t>
      </w:r>
      <w:r>
        <w:rPr>
          <w:rFonts w:ascii="Times New Roman" w:eastAsia="Times New Roman" w:hAnsi="Times New Roman" w:cs="Times New Roman"/>
          <w:sz w:val="26"/>
          <w:szCs w:val="26"/>
        </w:rPr>
        <w:t xml:space="preserve"> Water Using Chlorine and Chlorine Dioxide as Disinfectant</w:t>
      </w:r>
      <w:r w:rsidR="00BB0763">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w:t>
      </w:r>
    </w:p>
    <w:p w:rsidR="00B11319" w:rsidRPr="00F94CFD" w:rsidRDefault="00B11319" w:rsidP="00B11319">
      <w:pPr>
        <w:pStyle w:val="IWAAuthornames"/>
        <w:spacing w:before="40" w:after="40"/>
        <w:jc w:val="center"/>
        <w:rPr>
          <w:rFonts w:ascii="Times New Roman" w:eastAsia="Times New Roman" w:hAnsi="Times New Roman" w:cs="Times New Roman"/>
          <w:sz w:val="22"/>
          <w:szCs w:val="22"/>
        </w:rPr>
      </w:pPr>
    </w:p>
    <w:p w:rsidR="00B11319" w:rsidRDefault="00B11319" w:rsidP="00B11319">
      <w:pPr>
        <w:pStyle w:val="IWAAuthornames"/>
        <w:spacing w:before="40" w:after="4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N. H., Mokhtar Kamal</w:t>
      </w:r>
      <w:r w:rsidRPr="004A7753">
        <w:rPr>
          <w:rFonts w:ascii="Times New Roman" w:eastAsia="Times New Roman" w:hAnsi="Times New Roman" w:cs="Times New Roman"/>
          <w:i/>
          <w:sz w:val="22"/>
          <w:szCs w:val="22"/>
        </w:rPr>
        <w:t>*</w:t>
      </w:r>
      <w:r w:rsidRPr="004A7753">
        <w:rPr>
          <w:rFonts w:ascii="Times New Roman" w:eastAsia="Times New Roman" w:hAnsi="Times New Roman" w:cs="Times New Roman"/>
          <w:i/>
          <w:sz w:val="22"/>
          <w:szCs w:val="22"/>
          <w:vertAlign w:val="superscript"/>
        </w:rPr>
        <w:t>1)</w:t>
      </w:r>
      <w:r w:rsidRPr="004A7753">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 xml:space="preserve">N.F.H., </w:t>
      </w:r>
      <w:proofErr w:type="spellStart"/>
      <w:r>
        <w:rPr>
          <w:rFonts w:ascii="Times New Roman" w:eastAsia="Times New Roman" w:hAnsi="Times New Roman" w:cs="Times New Roman"/>
          <w:i/>
          <w:sz w:val="22"/>
          <w:szCs w:val="22"/>
        </w:rPr>
        <w:t>Mohd</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Halid</w:t>
      </w:r>
      <w:proofErr w:type="spellEnd"/>
      <w:r>
        <w:rPr>
          <w:rFonts w:ascii="Times New Roman" w:eastAsia="Times New Roman" w:hAnsi="Times New Roman" w:cs="Times New Roman"/>
          <w:i/>
          <w:sz w:val="22"/>
          <w:szCs w:val="22"/>
        </w:rPr>
        <w:t xml:space="preserve"> </w:t>
      </w:r>
      <w:r w:rsidRPr="004A7753">
        <w:rPr>
          <w:rFonts w:ascii="Times New Roman" w:eastAsia="Times New Roman" w:hAnsi="Times New Roman" w:cs="Times New Roman"/>
          <w:i/>
          <w:sz w:val="22"/>
          <w:szCs w:val="22"/>
          <w:vertAlign w:val="superscript"/>
        </w:rPr>
        <w:t>1)</w:t>
      </w:r>
      <w:r w:rsidRPr="004A7753">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 xml:space="preserve">N., </w:t>
      </w:r>
      <w:proofErr w:type="spellStart"/>
      <w:r>
        <w:rPr>
          <w:rFonts w:ascii="Times New Roman" w:eastAsia="Times New Roman" w:hAnsi="Times New Roman" w:cs="Times New Roman"/>
          <w:i/>
          <w:sz w:val="22"/>
          <w:szCs w:val="22"/>
        </w:rPr>
        <w:t>Che</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Rozi</w:t>
      </w:r>
      <w:proofErr w:type="spellEnd"/>
      <w:r>
        <w:rPr>
          <w:rFonts w:ascii="Times New Roman" w:eastAsia="Times New Roman" w:hAnsi="Times New Roman" w:cs="Times New Roman"/>
          <w:i/>
          <w:sz w:val="22"/>
          <w:szCs w:val="22"/>
        </w:rPr>
        <w:t xml:space="preserve"> </w:t>
      </w:r>
      <w:r w:rsidRPr="004A7753">
        <w:rPr>
          <w:rFonts w:ascii="Times New Roman" w:eastAsia="Times New Roman" w:hAnsi="Times New Roman" w:cs="Times New Roman"/>
          <w:i/>
          <w:sz w:val="22"/>
          <w:szCs w:val="22"/>
          <w:vertAlign w:val="superscript"/>
        </w:rPr>
        <w:t>1)</w:t>
      </w:r>
      <w:r>
        <w:rPr>
          <w:rFonts w:ascii="Times New Roman" w:eastAsia="Times New Roman" w:hAnsi="Times New Roman" w:cs="Times New Roman"/>
          <w:i/>
          <w:sz w:val="22"/>
          <w:szCs w:val="22"/>
        </w:rPr>
        <w:t xml:space="preserve"> </w:t>
      </w:r>
    </w:p>
    <w:p w:rsidR="00B11319" w:rsidRPr="004A7753" w:rsidRDefault="00B11319" w:rsidP="00B11319">
      <w:pPr>
        <w:pStyle w:val="IWAAuthornames"/>
        <w:spacing w:before="40" w:after="40"/>
        <w:jc w:val="center"/>
        <w:rPr>
          <w:rFonts w:ascii="Times New Roman" w:eastAsia="Times New Roman" w:hAnsi="Times New Roman" w:cs="Times New Roman"/>
          <w:b w:val="0"/>
          <w:i/>
          <w:sz w:val="22"/>
          <w:szCs w:val="22"/>
        </w:rPr>
      </w:pPr>
      <w:proofErr w:type="gramStart"/>
      <w:r w:rsidRPr="004A7753">
        <w:rPr>
          <w:rFonts w:ascii="Times New Roman" w:eastAsia="Times New Roman" w:hAnsi="Times New Roman" w:cs="Times New Roman"/>
          <w:b w:val="0"/>
          <w:i/>
          <w:sz w:val="22"/>
          <w:szCs w:val="22"/>
          <w:vertAlign w:val="superscript"/>
        </w:rPr>
        <w:t>1)</w:t>
      </w:r>
      <w:r>
        <w:rPr>
          <w:rFonts w:ascii="Times New Roman" w:eastAsia="Times New Roman" w:hAnsi="Times New Roman" w:cs="Times New Roman"/>
          <w:b w:val="0"/>
          <w:i/>
          <w:sz w:val="22"/>
          <w:szCs w:val="22"/>
        </w:rPr>
        <w:t>School</w:t>
      </w:r>
      <w:proofErr w:type="gramEnd"/>
      <w:r>
        <w:rPr>
          <w:rFonts w:ascii="Times New Roman" w:eastAsia="Times New Roman" w:hAnsi="Times New Roman" w:cs="Times New Roman"/>
          <w:b w:val="0"/>
          <w:i/>
          <w:sz w:val="22"/>
          <w:szCs w:val="22"/>
        </w:rPr>
        <w:t xml:space="preserve"> of Civil Engineering, </w:t>
      </w:r>
      <w:proofErr w:type="spellStart"/>
      <w:r>
        <w:rPr>
          <w:rFonts w:ascii="Times New Roman" w:eastAsia="Times New Roman" w:hAnsi="Times New Roman" w:cs="Times New Roman"/>
          <w:b w:val="0"/>
          <w:i/>
          <w:sz w:val="22"/>
          <w:szCs w:val="22"/>
        </w:rPr>
        <w:t>Universiti</w:t>
      </w:r>
      <w:proofErr w:type="spellEnd"/>
      <w:r>
        <w:rPr>
          <w:rFonts w:ascii="Times New Roman" w:eastAsia="Times New Roman" w:hAnsi="Times New Roman" w:cs="Times New Roman"/>
          <w:b w:val="0"/>
          <w:i/>
          <w:sz w:val="22"/>
          <w:szCs w:val="22"/>
        </w:rPr>
        <w:t xml:space="preserve"> </w:t>
      </w:r>
      <w:proofErr w:type="spellStart"/>
      <w:r>
        <w:rPr>
          <w:rFonts w:ascii="Times New Roman" w:eastAsia="Times New Roman" w:hAnsi="Times New Roman" w:cs="Times New Roman"/>
          <w:b w:val="0"/>
          <w:i/>
          <w:sz w:val="22"/>
          <w:szCs w:val="22"/>
        </w:rPr>
        <w:t>Sains</w:t>
      </w:r>
      <w:proofErr w:type="spellEnd"/>
      <w:r>
        <w:rPr>
          <w:rFonts w:ascii="Times New Roman" w:eastAsia="Times New Roman" w:hAnsi="Times New Roman" w:cs="Times New Roman"/>
          <w:b w:val="0"/>
          <w:i/>
          <w:sz w:val="22"/>
          <w:szCs w:val="22"/>
        </w:rPr>
        <w:t xml:space="preserve"> Malaysia</w:t>
      </w:r>
    </w:p>
    <w:p w:rsidR="00B11319" w:rsidRPr="004A7753" w:rsidRDefault="00B11319" w:rsidP="00B11319">
      <w:pPr>
        <w:pStyle w:val="IWAAuthoraddress"/>
        <w:spacing w:before="40" w:after="40"/>
        <w:jc w:val="center"/>
        <w:rPr>
          <w:rFonts w:ascii="Times New Roman" w:eastAsia="Times New Roman" w:hAnsi="Times New Roman" w:cs="Times New Roman"/>
          <w:i/>
          <w:sz w:val="22"/>
          <w:szCs w:val="22"/>
        </w:rPr>
      </w:pPr>
      <w:r w:rsidRPr="004A7753">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cehana@usm.my</w:t>
      </w:r>
    </w:p>
    <w:p w:rsidR="00B11319" w:rsidRPr="00F94CFD" w:rsidRDefault="00B11319" w:rsidP="00BB0763">
      <w:pPr>
        <w:pStyle w:val="IWAKeyword"/>
        <w:spacing w:before="320"/>
        <w:jc w:val="both"/>
        <w:rPr>
          <w:rFonts w:ascii="Times New Roman" w:eastAsia="Times New Roman" w:hAnsi="Times New Roman" w:cs="Times New Roman"/>
          <w:b/>
          <w:sz w:val="22"/>
          <w:szCs w:val="22"/>
        </w:rPr>
      </w:pPr>
      <w:r w:rsidRPr="00F94CFD">
        <w:rPr>
          <w:rFonts w:ascii="Times New Roman" w:eastAsia="Times New Roman" w:hAnsi="Times New Roman" w:cs="Times New Roman"/>
          <w:b/>
          <w:sz w:val="22"/>
          <w:szCs w:val="22"/>
        </w:rPr>
        <w:t xml:space="preserve">Keywords: </w:t>
      </w:r>
      <w:proofErr w:type="spellStart"/>
      <w:r w:rsidR="00BB0763">
        <w:rPr>
          <w:rFonts w:ascii="Times New Roman" w:eastAsia="Times New Roman" w:hAnsi="Times New Roman" w:cs="Times New Roman"/>
          <w:sz w:val="22"/>
          <w:szCs w:val="22"/>
        </w:rPr>
        <w:t>trihalomenthanes</w:t>
      </w:r>
      <w:proofErr w:type="spellEnd"/>
      <w:r w:rsidR="00BB0763">
        <w:rPr>
          <w:rFonts w:ascii="Times New Roman" w:eastAsia="Times New Roman" w:hAnsi="Times New Roman" w:cs="Times New Roman"/>
          <w:sz w:val="22"/>
          <w:szCs w:val="22"/>
        </w:rPr>
        <w:t>; chlorine;</w:t>
      </w:r>
      <w:r>
        <w:rPr>
          <w:rFonts w:ascii="Times New Roman" w:eastAsia="Times New Roman" w:hAnsi="Times New Roman" w:cs="Times New Roman"/>
          <w:sz w:val="22"/>
          <w:szCs w:val="22"/>
        </w:rPr>
        <w:t xml:space="preserve"> chlorine dioxide</w:t>
      </w:r>
      <w:r w:rsidR="00BB0763">
        <w:rPr>
          <w:rFonts w:ascii="Times New Roman" w:eastAsia="Times New Roman" w:hAnsi="Times New Roman" w:cs="Times New Roman"/>
          <w:sz w:val="22"/>
          <w:szCs w:val="22"/>
        </w:rPr>
        <w:t>; disinfectants</w:t>
      </w:r>
    </w:p>
    <w:p w:rsidR="00B11319" w:rsidRPr="00F94CFD" w:rsidRDefault="00B11319" w:rsidP="00B11319">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Introduction</w:t>
      </w:r>
    </w:p>
    <w:p w:rsidR="00BB0763" w:rsidRPr="00CD0D02" w:rsidRDefault="00BB0763" w:rsidP="00F8251E">
      <w:pPr>
        <w:pStyle w:val="IWAFirstparagraph"/>
        <w:suppressLineNumbers w:val="0"/>
        <w:overflowPunct/>
        <w:autoSpaceDE/>
        <w:autoSpaceDN/>
        <w:adjustRightInd/>
        <w:spacing w:before="240" w:after="40" w:line="276" w:lineRule="auto"/>
        <w:ind w:firstLine="567"/>
        <w:textAlignment w:val="auto"/>
        <w:rPr>
          <w:rFonts w:asciiTheme="majorBidi" w:hAnsiTheme="majorBidi" w:cstheme="majorBidi"/>
        </w:rPr>
      </w:pPr>
      <w:r w:rsidRPr="00BB0763">
        <w:rPr>
          <w:rFonts w:asciiTheme="majorBidi" w:hAnsiTheme="majorBidi" w:cstheme="majorBidi"/>
        </w:rPr>
        <w:t xml:space="preserve">Chemical disinfection is used to destroy or control the growth microorganisms present in water that would otherwise cause fouling, corrosion of equipment, or lead to disease from microbial activity </w:t>
      </w:r>
      <w:r w:rsidRPr="00BB0763">
        <w:rPr>
          <w:rFonts w:asciiTheme="majorBidi" w:hAnsiTheme="majorBidi" w:cstheme="majorBidi"/>
        </w:rPr>
        <w:fldChar w:fldCharType="begin"/>
      </w:r>
      <w:r w:rsidRPr="00BB0763">
        <w:rPr>
          <w:rFonts w:asciiTheme="majorBidi" w:hAnsiTheme="majorBidi" w:cstheme="majorBidi"/>
        </w:rPr>
        <w:instrText xml:space="preserve"> ADDIN EN.CITE &lt;EndNote&gt;&lt;Cite&gt;&lt;Author&gt;Pandit&lt;/Author&gt;&lt;Year&gt;2013&lt;/Year&gt;&lt;RecNum&gt;52&lt;/RecNum&gt;&lt;DisplayText&gt;(Pandit &amp;amp; Kumar, 2013)&lt;/DisplayText&gt;&lt;record&gt;&lt;rec-number&gt;52&lt;/rec-number&gt;&lt;foreign-keys&gt;&lt;key app="EN" db-id="fvw0eddtmxfre1ep5vev2rejzp0pdtrrwe5d" timestamp="1480314556"&gt;52&lt;/key&gt;&lt;/foreign-keys&gt;&lt;ref-type name="Book"&gt;6&lt;/ref-type&gt;&lt;contributors&gt;&lt;authors&gt;&lt;author&gt;Aniruddha Bhalchandra Pandit&lt;/author&gt;&lt;author&gt;Jyoti Kishen Kumar&lt;/author&gt;&lt;/authors&gt;&lt;/contributors&gt;&lt;titles&gt;&lt;title&gt;Drinking Water Disinfection Techniques&lt;/title&gt;&lt;/titles&gt;&lt;pages&gt;252&lt;/pages&gt;&lt;dates&gt;&lt;year&gt;2013&lt;/year&gt;&lt;/dates&gt;&lt;publisher&gt;CRC Press&lt;/publisher&gt;&lt;urls&gt;&lt;/urls&gt;&lt;/record&gt;&lt;/Cite&gt;&lt;/EndNote&gt;</w:instrText>
      </w:r>
      <w:r w:rsidRPr="00BB0763">
        <w:rPr>
          <w:rFonts w:asciiTheme="majorBidi" w:hAnsiTheme="majorBidi" w:cstheme="majorBidi"/>
        </w:rPr>
        <w:fldChar w:fldCharType="separate"/>
      </w:r>
      <w:r w:rsidRPr="00BB0763">
        <w:rPr>
          <w:rFonts w:asciiTheme="majorBidi" w:hAnsiTheme="majorBidi" w:cstheme="majorBidi"/>
        </w:rPr>
        <w:t>(</w:t>
      </w:r>
      <w:proofErr w:type="spellStart"/>
      <w:r w:rsidRPr="00BB0763">
        <w:rPr>
          <w:rFonts w:asciiTheme="majorBidi" w:hAnsiTheme="majorBidi" w:cstheme="majorBidi"/>
        </w:rPr>
        <w:t>Pandit</w:t>
      </w:r>
      <w:proofErr w:type="spellEnd"/>
      <w:r w:rsidRPr="00BB0763">
        <w:rPr>
          <w:rFonts w:asciiTheme="majorBidi" w:hAnsiTheme="majorBidi" w:cstheme="majorBidi"/>
        </w:rPr>
        <w:t xml:space="preserve"> &amp; Kumar, 2013)</w:t>
      </w:r>
      <w:r w:rsidRPr="00BB0763">
        <w:rPr>
          <w:rFonts w:asciiTheme="majorBidi" w:hAnsiTheme="majorBidi" w:cstheme="majorBidi"/>
        </w:rPr>
        <w:fldChar w:fldCharType="end"/>
      </w:r>
      <w:r>
        <w:rPr>
          <w:rFonts w:asciiTheme="majorBidi" w:hAnsiTheme="majorBidi" w:cstheme="majorBidi"/>
        </w:rPr>
        <w:t xml:space="preserve">. </w:t>
      </w:r>
      <w:r w:rsidR="0021088A">
        <w:rPr>
          <w:rFonts w:asciiTheme="majorBidi" w:hAnsiTheme="majorBidi" w:cstheme="majorBidi"/>
        </w:rPr>
        <w:t xml:space="preserve">Chlorine has always been the most popular choice as a disinfectant </w:t>
      </w:r>
      <w:r w:rsidR="00CD0D02">
        <w:rPr>
          <w:rFonts w:asciiTheme="majorBidi" w:hAnsiTheme="majorBidi" w:cstheme="majorBidi"/>
        </w:rPr>
        <w:t xml:space="preserve">in Malaysia </w:t>
      </w:r>
      <w:r w:rsidR="0021088A">
        <w:rPr>
          <w:rFonts w:asciiTheme="majorBidi" w:hAnsiTheme="majorBidi" w:cstheme="majorBidi"/>
        </w:rPr>
        <w:t>due to its low cost and effectiveness. However</w:t>
      </w:r>
      <w:r w:rsidR="00777009">
        <w:rPr>
          <w:rFonts w:asciiTheme="majorBidi" w:hAnsiTheme="majorBidi" w:cstheme="majorBidi"/>
        </w:rPr>
        <w:t xml:space="preserve">, disinfectants, when reacting with organic matters present in the water, can produce disinfection by-products (DBPs) which can be harmful to human </w:t>
      </w:r>
      <w:r w:rsidR="00777009" w:rsidRPr="00777009">
        <w:rPr>
          <w:rFonts w:asciiTheme="majorBidi" w:hAnsiTheme="majorBidi" w:cstheme="majorBidi"/>
        </w:rPr>
        <w:t xml:space="preserve">health </w:t>
      </w:r>
      <w:r w:rsidR="00777009" w:rsidRPr="00777009">
        <w:rPr>
          <w:rFonts w:asciiTheme="majorBidi" w:hAnsiTheme="majorBidi" w:cstheme="majorBidi"/>
        </w:rPr>
        <w:fldChar w:fldCharType="begin" w:fldLock="1"/>
      </w:r>
      <w:r w:rsidR="00777009" w:rsidRPr="00777009">
        <w:rPr>
          <w:rFonts w:asciiTheme="majorBidi" w:hAnsiTheme="majorBidi" w:cstheme="majorBidi"/>
        </w:rPr>
        <w:instrText>ADDIN CSL_CITATION { "citationItems" : [ { "id" : "ITEM-1", "itemData" : { "DOI" : "10.1016/j.chemosphere.2016.09.008", "ISBN" : "9788578110796", "ISSN" : "18791298", "PMID" : "25246403", "abstract" : "The occurrence of chlorine dioxide (ClO2) disinfection by-products (DBPs) in drinking water, namely, chlorite, chlorate, and trihalomethanes (THMs), was investigated. Two-hundred-ninety-four drinking water samples were collected from seven desalination plants (DPs), four reservoirs (R), and eight mosques (M) distributed within various locations in southern and northern Qatar. The ClO2 concentration levels ranged from 0.38 to &lt;0.02??mg??L???1, with mean values of 0.17, 0.12, and 0.04??mg??L???1 for the DPs, Rs, and Ms, respectively. The chlorite levels varied from 13????g??L???1 to 440????g??L???1, with median values varying from 13 to 230????g??L???1, 77???320????g??L???1, and 85???440????g??L???1 for the DPs, Rs, and Ms, respectively. The chlorate levels varied from 11????g??L???1 to 280????g??L???1, with mean values varying from 36 to 280????g??L???1, 11???200????g??L???1, and 11???150????g??L???1 in the DPs, Rs, and Ms, respectively. The average concentration of THMs was 5????g??L???1, and the maximum value reached 77????g??L???1 However, all of the DBP concentrations fell within the range of the regulatory limits set by GSO 149/2009, the World Health Organization (WHO), and Kahramaa (KM).", "author" : [ { "dropping-particle" : "", "family" : "Al-Otoum", "given" : "Fatima", "non-dropping-particle" : "", "parse-names" : false, "suffix" : "" }, { "dropping-particle" : "", "family" : "Al-Ghouti", "given" : "Mohammad A.", "non-dropping-particle" : "", "parse-names" : false, "suffix" : "" }, { "dropping-particle" : "", "family" : "Ahmed", "given" : "Talaat A.", "non-dropping-particle" : "", "parse-names" : false, "suffix" : "" }, { "dropping-particle" : "", "family" : "Abu-Dieyeh", "given" : "Mohammed", "non-dropping-particle" : "", "parse-names" : false, "suffix" : "" }, { "dropping-particle" : "", "family" : "Ali", "given" : "Mohammed", "non-dropping-particle" : "", "parse-names" : false, "suffix" : "" } ], "container-title" : "Chemosphere", "id" : "ITEM-1", "issued" : { "date-parts" : [ [ "2016" ] ] }, "page" : "649-656", "publisher" : "Elsevier Ltd", "title" : "Disinfection by-products of chlorine dioxide (chlorite, chlorate, and trihalomethanes): Occurrence in drinking water in Qatar", "type" : "article-journal", "volume" : "164" }, "uris" : [ "http://www.mendeley.com/documents/?uuid=c03cea99-6a0b-4073-8407-e47f395ee338" ] } ], "mendeley" : { "formattedCitation" : "(Al-Otoum et al., 2016)", "plainTextFormattedCitation" : "(Al-Otoum et al., 2016)", "previouslyFormattedCitation" : "(Al-Otoum et al., 2016)" }, "properties" : { "noteIndex" : 0 }, "schema" : "https://github.com/citation-style-language/schema/raw/master/csl-citation.json" }</w:instrText>
      </w:r>
      <w:r w:rsidR="00777009" w:rsidRPr="00777009">
        <w:rPr>
          <w:rFonts w:asciiTheme="majorBidi" w:hAnsiTheme="majorBidi" w:cstheme="majorBidi"/>
        </w:rPr>
        <w:fldChar w:fldCharType="separate"/>
      </w:r>
      <w:r w:rsidR="00777009" w:rsidRPr="00777009">
        <w:rPr>
          <w:rFonts w:asciiTheme="majorBidi" w:hAnsiTheme="majorBidi" w:cstheme="majorBidi"/>
          <w:noProof/>
        </w:rPr>
        <w:t>(Al-Otoum et al., 2016)</w:t>
      </w:r>
      <w:r w:rsidR="00777009" w:rsidRPr="00777009">
        <w:rPr>
          <w:rFonts w:asciiTheme="majorBidi" w:hAnsiTheme="majorBidi" w:cstheme="majorBidi"/>
        </w:rPr>
        <w:fldChar w:fldCharType="end"/>
      </w:r>
      <w:r w:rsidR="00777009">
        <w:rPr>
          <w:rFonts w:asciiTheme="majorBidi" w:hAnsiTheme="majorBidi" w:cstheme="majorBidi"/>
        </w:rPr>
        <w:t>.</w:t>
      </w:r>
      <w:r w:rsidR="004E718D">
        <w:rPr>
          <w:rFonts w:asciiTheme="majorBidi" w:hAnsiTheme="majorBidi" w:cstheme="majorBidi"/>
        </w:rPr>
        <w:t xml:space="preserve"> </w:t>
      </w:r>
      <w:r w:rsidR="001557AB">
        <w:rPr>
          <w:rFonts w:asciiTheme="majorBidi" w:hAnsiTheme="majorBidi" w:cstheme="majorBidi"/>
        </w:rPr>
        <w:t>The most prevalent species of DBPs associated with chlo</w:t>
      </w:r>
      <w:r w:rsidR="00912BAA">
        <w:rPr>
          <w:rFonts w:asciiTheme="majorBidi" w:hAnsiTheme="majorBidi" w:cstheme="majorBidi"/>
        </w:rPr>
        <w:t xml:space="preserve">rine is </w:t>
      </w:r>
      <w:proofErr w:type="spellStart"/>
      <w:r w:rsidR="00912BAA">
        <w:rPr>
          <w:rFonts w:asciiTheme="majorBidi" w:hAnsiTheme="majorBidi" w:cstheme="majorBidi"/>
        </w:rPr>
        <w:t>trihalomethanes</w:t>
      </w:r>
      <w:proofErr w:type="spellEnd"/>
      <w:r w:rsidR="00912BAA">
        <w:rPr>
          <w:rFonts w:asciiTheme="majorBidi" w:hAnsiTheme="majorBidi" w:cstheme="majorBidi"/>
        </w:rPr>
        <w:t xml:space="preserve"> (THMs) and </w:t>
      </w:r>
      <w:proofErr w:type="spellStart"/>
      <w:r w:rsidR="00912BAA">
        <w:rPr>
          <w:rFonts w:asciiTheme="majorBidi" w:hAnsiTheme="majorBidi" w:cstheme="majorBidi"/>
        </w:rPr>
        <w:t>haloacetics</w:t>
      </w:r>
      <w:proofErr w:type="spellEnd"/>
      <w:r w:rsidR="00912BAA">
        <w:rPr>
          <w:rFonts w:asciiTheme="majorBidi" w:hAnsiTheme="majorBidi" w:cstheme="majorBidi"/>
        </w:rPr>
        <w:t xml:space="preserve"> acids (HAAs). </w:t>
      </w:r>
      <w:r w:rsidR="001557AB">
        <w:rPr>
          <w:rFonts w:asciiTheme="majorBidi" w:hAnsiTheme="majorBidi" w:cstheme="majorBidi"/>
        </w:rPr>
        <w:t xml:space="preserve"> </w:t>
      </w:r>
      <w:r w:rsidR="00CD0D02">
        <w:rPr>
          <w:rFonts w:asciiTheme="majorBidi" w:hAnsiTheme="majorBidi" w:cstheme="majorBidi"/>
        </w:rPr>
        <w:t xml:space="preserve">The four </w:t>
      </w:r>
      <w:r w:rsidR="00CD0D02" w:rsidRPr="00CD0D02">
        <w:rPr>
          <w:rFonts w:asciiTheme="majorBidi" w:hAnsiTheme="majorBidi" w:cstheme="majorBidi"/>
        </w:rPr>
        <w:t>THM compounds are currently regulated in Malaysia (</w:t>
      </w:r>
      <w:r w:rsidR="00CD0D02" w:rsidRPr="00CD0D02">
        <w:rPr>
          <w:rFonts w:asciiTheme="majorBidi" w:hAnsiTheme="majorBidi" w:cstheme="majorBidi"/>
          <w:noProof/>
        </w:rPr>
        <w:t>MOH, 2010</w:t>
      </w:r>
      <w:r w:rsidR="00CD0D02" w:rsidRPr="00CD0D02">
        <w:rPr>
          <w:rFonts w:asciiTheme="majorBidi" w:hAnsiTheme="majorBidi" w:cstheme="majorBidi"/>
          <w:noProof/>
        </w:rPr>
        <w:t>), however there were some cases of elevated THM</w:t>
      </w:r>
      <w:r w:rsidR="00477BAE">
        <w:rPr>
          <w:rFonts w:asciiTheme="majorBidi" w:hAnsiTheme="majorBidi" w:cstheme="majorBidi"/>
          <w:noProof/>
        </w:rPr>
        <w:t xml:space="preserve"> fromation</w:t>
      </w:r>
      <w:r w:rsidR="00CD0D02" w:rsidRPr="00CD0D02">
        <w:rPr>
          <w:rFonts w:asciiTheme="majorBidi" w:hAnsiTheme="majorBidi" w:cstheme="majorBidi"/>
          <w:noProof/>
        </w:rPr>
        <w:t xml:space="preserve"> reported </w:t>
      </w:r>
      <w:r w:rsidR="00477BAE">
        <w:rPr>
          <w:rFonts w:asciiTheme="majorBidi" w:hAnsiTheme="majorBidi" w:cstheme="majorBidi"/>
          <w:noProof/>
        </w:rPr>
        <w:t xml:space="preserve">in Malaysia </w:t>
      </w:r>
      <w:r w:rsidR="00CD0D02" w:rsidRPr="00CD0D02">
        <w:rPr>
          <w:rFonts w:asciiTheme="majorBidi" w:hAnsiTheme="majorBidi" w:cstheme="majorBidi"/>
          <w:noProof/>
        </w:rPr>
        <w:t>(</w:t>
      </w:r>
      <w:r w:rsidR="00CD0D02" w:rsidRPr="00CD0D02">
        <w:rPr>
          <w:rFonts w:asciiTheme="majorBidi" w:hAnsiTheme="majorBidi" w:cstheme="majorBidi"/>
        </w:rPr>
        <w:t>Abdullah et al.</w:t>
      </w:r>
      <w:r w:rsidR="00CD0D02" w:rsidRPr="00CD0D02">
        <w:rPr>
          <w:rFonts w:asciiTheme="majorBidi" w:hAnsiTheme="majorBidi" w:cstheme="majorBidi"/>
        </w:rPr>
        <w:t>, 2003)</w:t>
      </w:r>
      <w:r w:rsidR="00CD0D02" w:rsidRPr="00CD0D02">
        <w:rPr>
          <w:rFonts w:asciiTheme="majorBidi" w:hAnsiTheme="majorBidi" w:cstheme="majorBidi"/>
          <w:noProof/>
        </w:rPr>
        <w:t xml:space="preserve">.  </w:t>
      </w:r>
      <w:r w:rsidR="00CD0D02" w:rsidRPr="00CD0D02">
        <w:rPr>
          <w:rFonts w:asciiTheme="majorBidi" w:hAnsiTheme="majorBidi" w:cstheme="majorBidi"/>
        </w:rPr>
        <w:t xml:space="preserve"> </w:t>
      </w:r>
    </w:p>
    <w:p w:rsidR="00477BAE" w:rsidRPr="00620019" w:rsidRDefault="00F66799" w:rsidP="003601A6">
      <w:pPr>
        <w:pStyle w:val="IWANormalParagraph"/>
        <w:spacing w:before="40" w:after="40" w:line="276" w:lineRule="auto"/>
        <w:ind w:firstLine="567"/>
        <w:rPr>
          <w:rFonts w:ascii="Times New Roman" w:hAnsi="Times New Roman" w:cs="Times New Roman"/>
          <w:lang w:val="en-MY"/>
        </w:rPr>
      </w:pPr>
      <w:r>
        <w:rPr>
          <w:rFonts w:ascii="Times New Roman" w:hAnsi="Times New Roman" w:cs="Times New Roman"/>
          <w:lang w:val="en-MY"/>
        </w:rPr>
        <w:t>The application of alternative disinfectant for Malaysia</w:t>
      </w:r>
      <w:r w:rsidR="00620019">
        <w:rPr>
          <w:rFonts w:ascii="Times New Roman" w:hAnsi="Times New Roman" w:cs="Times New Roman"/>
          <w:lang w:val="en-MY"/>
        </w:rPr>
        <w:t>n</w:t>
      </w:r>
      <w:r>
        <w:rPr>
          <w:rFonts w:ascii="Times New Roman" w:hAnsi="Times New Roman" w:cs="Times New Roman"/>
          <w:lang w:val="en-MY"/>
        </w:rPr>
        <w:t xml:space="preserve"> drinking water can be relevant in the future. </w:t>
      </w:r>
      <w:r w:rsidR="00477BAE">
        <w:rPr>
          <w:rFonts w:ascii="Times New Roman" w:hAnsi="Times New Roman" w:cs="Times New Roman"/>
          <w:lang w:val="en-MY"/>
        </w:rPr>
        <w:t>Thus, this study aims to compare THMs formation level using chlorine and chlorine dioxide as disinfectant</w:t>
      </w:r>
      <w:r w:rsidR="00620019">
        <w:rPr>
          <w:rFonts w:ascii="Times New Roman" w:hAnsi="Times New Roman" w:cs="Times New Roman"/>
          <w:lang w:val="en-MY"/>
        </w:rPr>
        <w:t>s</w:t>
      </w:r>
      <w:r w:rsidR="00477BAE">
        <w:rPr>
          <w:rFonts w:ascii="Times New Roman" w:hAnsi="Times New Roman" w:cs="Times New Roman"/>
          <w:lang w:val="en-MY"/>
        </w:rPr>
        <w:t xml:space="preserve">. </w:t>
      </w:r>
      <w:r w:rsidR="00620019" w:rsidRPr="00620019">
        <w:rPr>
          <w:rFonts w:asciiTheme="majorBidi" w:hAnsiTheme="majorBidi" w:cstheme="majorBidi"/>
        </w:rPr>
        <w:t>Compared to chlorine</w:t>
      </w:r>
      <w:r w:rsidR="00B96FF6">
        <w:rPr>
          <w:rFonts w:asciiTheme="majorBidi" w:hAnsiTheme="majorBidi" w:cstheme="majorBidi"/>
        </w:rPr>
        <w:t xml:space="preserve"> (Cl</w:t>
      </w:r>
      <w:r w:rsidR="00B96FF6" w:rsidRPr="00B96FF6">
        <w:rPr>
          <w:rFonts w:asciiTheme="majorBidi" w:hAnsiTheme="majorBidi" w:cstheme="majorBidi"/>
          <w:vertAlign w:val="subscript"/>
        </w:rPr>
        <w:t>2</w:t>
      </w:r>
      <w:r w:rsidR="00B96FF6">
        <w:rPr>
          <w:rFonts w:asciiTheme="majorBidi" w:hAnsiTheme="majorBidi" w:cstheme="majorBidi"/>
        </w:rPr>
        <w:t>)</w:t>
      </w:r>
      <w:r w:rsidR="00620019" w:rsidRPr="00620019">
        <w:rPr>
          <w:rFonts w:asciiTheme="majorBidi" w:hAnsiTheme="majorBidi" w:cstheme="majorBidi"/>
        </w:rPr>
        <w:t>, chlorine dioxide</w:t>
      </w:r>
      <w:r w:rsidR="00B96FF6">
        <w:rPr>
          <w:rFonts w:asciiTheme="majorBidi" w:hAnsiTheme="majorBidi" w:cstheme="majorBidi"/>
        </w:rPr>
        <w:t xml:space="preserve"> (ClO</w:t>
      </w:r>
      <w:r w:rsidR="00B96FF6" w:rsidRPr="00B96FF6">
        <w:rPr>
          <w:rFonts w:asciiTheme="majorBidi" w:hAnsiTheme="majorBidi" w:cstheme="majorBidi"/>
          <w:vertAlign w:val="subscript"/>
        </w:rPr>
        <w:t>2</w:t>
      </w:r>
      <w:r w:rsidR="00B96FF6">
        <w:rPr>
          <w:rFonts w:asciiTheme="majorBidi" w:hAnsiTheme="majorBidi" w:cstheme="majorBidi"/>
        </w:rPr>
        <w:t>)</w:t>
      </w:r>
      <w:r w:rsidR="00620019" w:rsidRPr="00620019">
        <w:rPr>
          <w:rFonts w:asciiTheme="majorBidi" w:hAnsiTheme="majorBidi" w:cstheme="majorBidi"/>
        </w:rPr>
        <w:t xml:space="preserve"> produce</w:t>
      </w:r>
      <w:r w:rsidR="00620019">
        <w:rPr>
          <w:rFonts w:asciiTheme="majorBidi" w:hAnsiTheme="majorBidi" w:cstheme="majorBidi"/>
        </w:rPr>
        <w:t>d</w:t>
      </w:r>
      <w:r w:rsidR="00620019" w:rsidRPr="00620019">
        <w:rPr>
          <w:rFonts w:asciiTheme="majorBidi" w:hAnsiTheme="majorBidi" w:cstheme="majorBidi"/>
        </w:rPr>
        <w:t xml:space="preserve"> low</w:t>
      </w:r>
      <w:r w:rsidR="00620019" w:rsidRPr="00620019">
        <w:rPr>
          <w:rFonts w:asciiTheme="majorBidi" w:hAnsiTheme="majorBidi" w:cstheme="majorBidi"/>
        </w:rPr>
        <w:t>er</w:t>
      </w:r>
      <w:r w:rsidR="00620019" w:rsidRPr="00620019">
        <w:rPr>
          <w:rFonts w:asciiTheme="majorBidi" w:hAnsiTheme="majorBidi" w:cstheme="majorBidi"/>
        </w:rPr>
        <w:t xml:space="preserve"> levels of </w:t>
      </w:r>
      <w:r w:rsidR="00620019" w:rsidRPr="00620019">
        <w:rPr>
          <w:rFonts w:asciiTheme="majorBidi" w:hAnsiTheme="majorBidi" w:cstheme="majorBidi"/>
        </w:rPr>
        <w:t>THMs</w:t>
      </w:r>
      <w:r w:rsidR="003601A6">
        <w:rPr>
          <w:rFonts w:asciiTheme="majorBidi" w:hAnsiTheme="majorBidi" w:cstheme="majorBidi"/>
        </w:rPr>
        <w:t xml:space="preserve"> </w:t>
      </w:r>
      <w:r w:rsidR="003601A6" w:rsidRPr="00777009">
        <w:rPr>
          <w:rFonts w:asciiTheme="majorBidi" w:hAnsiTheme="majorBidi" w:cstheme="majorBidi"/>
        </w:rPr>
        <w:fldChar w:fldCharType="begin" w:fldLock="1"/>
      </w:r>
      <w:r w:rsidR="003601A6" w:rsidRPr="00777009">
        <w:rPr>
          <w:rFonts w:asciiTheme="majorBidi" w:hAnsiTheme="majorBidi" w:cstheme="majorBidi"/>
        </w:rPr>
        <w:instrText>ADDIN CSL_CITATION { "citationItems" : [ { "id" : "ITEM-1", "itemData" : { "DOI" : "10.1016/j.chemosphere.2016.09.008", "ISBN" : "9788578110796", "ISSN" : "18791298", "PMID" : "25246403", "abstract" : "The occurrence of chlorine dioxide (ClO2) disinfection by-products (DBPs) in drinking water, namely, chlorite, chlorate, and trihalomethanes (THMs), was investigated. Two-hundred-ninety-four drinking water samples were collected from seven desalination plants (DPs), four reservoirs (R), and eight mosques (M) distributed within various locations in southern and northern Qatar. The ClO2 concentration levels ranged from 0.38 to &lt;0.02??mg??L???1, with mean values of 0.17, 0.12, and 0.04??mg??L???1 for the DPs, Rs, and Ms, respectively. The chlorite levels varied from 13????g??L???1 to 440????g??L???1, with median values varying from 13 to 230????g??L???1, 77???320????g??L???1, and 85???440????g??L???1 for the DPs, Rs, and Ms, respectively. The chlorate levels varied from 11????g??L???1 to 280????g??L???1, with mean values varying from 36 to 280????g??L???1, 11???200????g??L???1, and 11???150????g??L???1 in the DPs, Rs, and Ms, respectively. The average concentration of THMs was 5????g??L???1, and the maximum value reached 77????g??L???1 However, all of the DBP concentrations fell within the range of the regulatory limits set by GSO 149/2009, the World Health Organization (WHO), and Kahramaa (KM).", "author" : [ { "dropping-particle" : "", "family" : "Al-Otoum", "given" : "Fatima", "non-dropping-particle" : "", "parse-names" : false, "suffix" : "" }, { "dropping-particle" : "", "family" : "Al-Ghouti", "given" : "Mohammad A.", "non-dropping-particle" : "", "parse-names" : false, "suffix" : "" }, { "dropping-particle" : "", "family" : "Ahmed", "given" : "Talaat A.", "non-dropping-particle" : "", "parse-names" : false, "suffix" : "" }, { "dropping-particle" : "", "family" : "Abu-Dieyeh", "given" : "Mohammed", "non-dropping-particle" : "", "parse-names" : false, "suffix" : "" }, { "dropping-particle" : "", "family" : "Ali", "given" : "Mohammed", "non-dropping-particle" : "", "parse-names" : false, "suffix" : "" } ], "container-title" : "Chemosphere", "id" : "ITEM-1", "issued" : { "date-parts" : [ [ "2016" ] ] }, "page" : "649-656", "publisher" : "Elsevier Ltd", "title" : "Disinfection by-products of chlorine dioxide (chlorite, chlorate, and trihalomethanes): Occurrence in drinking water in Qatar", "type" : "article-journal", "volume" : "164" }, "uris" : [ "http://www.mendeley.com/documents/?uuid=c03cea99-6a0b-4073-8407-e47f395ee338" ] } ], "mendeley" : { "formattedCitation" : "(Al-Otoum et al., 2016)", "plainTextFormattedCitation" : "(Al-Otoum et al., 2016)", "previouslyFormattedCitation" : "(Al-Otoum et al., 2016)" }, "properties" : { "noteIndex" : 0 }, "schema" : "https://github.com/citation-style-language/schema/raw/master/csl-citation.json" }</w:instrText>
      </w:r>
      <w:r w:rsidR="003601A6" w:rsidRPr="00777009">
        <w:rPr>
          <w:rFonts w:asciiTheme="majorBidi" w:hAnsiTheme="majorBidi" w:cstheme="majorBidi"/>
        </w:rPr>
        <w:fldChar w:fldCharType="separate"/>
      </w:r>
      <w:r w:rsidR="003601A6" w:rsidRPr="00777009">
        <w:rPr>
          <w:rFonts w:asciiTheme="majorBidi" w:hAnsiTheme="majorBidi" w:cstheme="majorBidi"/>
          <w:noProof/>
        </w:rPr>
        <w:t>(Al-Otoum et al., 2016)</w:t>
      </w:r>
      <w:r w:rsidR="003601A6" w:rsidRPr="00777009">
        <w:rPr>
          <w:rFonts w:asciiTheme="majorBidi" w:hAnsiTheme="majorBidi" w:cstheme="majorBidi"/>
        </w:rPr>
        <w:fldChar w:fldCharType="end"/>
      </w:r>
      <w:r w:rsidR="003601A6">
        <w:rPr>
          <w:rFonts w:asciiTheme="majorBidi" w:hAnsiTheme="majorBidi" w:cstheme="majorBidi"/>
        </w:rPr>
        <w:t>.</w:t>
      </w:r>
    </w:p>
    <w:p w:rsidR="00B11319" w:rsidRPr="00F94CFD" w:rsidRDefault="00B11319" w:rsidP="00B11319">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Material and Methods</w:t>
      </w:r>
    </w:p>
    <w:p w:rsidR="00F8251E" w:rsidRPr="00F8251E" w:rsidRDefault="00285A0F" w:rsidP="00806582">
      <w:pPr>
        <w:pStyle w:val="IWAFirstparagraph"/>
        <w:spacing w:before="40" w:after="40" w:line="276" w:lineRule="auto"/>
        <w:ind w:firstLine="567"/>
        <w:rPr>
          <w:rFonts w:asciiTheme="majorBidi" w:hAnsiTheme="majorBidi" w:cstheme="majorBidi"/>
        </w:rPr>
      </w:pPr>
      <w:r>
        <w:rPr>
          <w:rFonts w:ascii="Times New Roman" w:hAnsi="Times New Roman" w:cs="Times New Roman"/>
        </w:rPr>
        <w:t>Sampling</w:t>
      </w:r>
      <w:r w:rsidR="00F8251E">
        <w:rPr>
          <w:rFonts w:ascii="Times New Roman" w:hAnsi="Times New Roman" w:cs="Times New Roman"/>
        </w:rPr>
        <w:t>s</w:t>
      </w:r>
      <w:r>
        <w:rPr>
          <w:rFonts w:ascii="Times New Roman" w:hAnsi="Times New Roman" w:cs="Times New Roman"/>
        </w:rPr>
        <w:t xml:space="preserve"> were carried out </w:t>
      </w:r>
      <w:r w:rsidR="00D446B4">
        <w:rPr>
          <w:rFonts w:ascii="Times New Roman" w:hAnsi="Times New Roman" w:cs="Times New Roman"/>
        </w:rPr>
        <w:t>at two sites</w:t>
      </w:r>
      <w:r w:rsidR="00806582">
        <w:rPr>
          <w:rFonts w:ascii="Times New Roman" w:hAnsi="Times New Roman" w:cs="Times New Roman"/>
        </w:rPr>
        <w:t xml:space="preserve"> for one round of sampling</w:t>
      </w:r>
      <w:r w:rsidR="00D446B4">
        <w:rPr>
          <w:rFonts w:ascii="Times New Roman" w:hAnsi="Times New Roman" w:cs="Times New Roman"/>
        </w:rPr>
        <w:t xml:space="preserve">; borehole in </w:t>
      </w:r>
      <w:proofErr w:type="spellStart"/>
      <w:r w:rsidR="00D446B4">
        <w:rPr>
          <w:rFonts w:ascii="Times New Roman" w:hAnsi="Times New Roman" w:cs="Times New Roman"/>
        </w:rPr>
        <w:t>Nibong</w:t>
      </w:r>
      <w:proofErr w:type="spellEnd"/>
      <w:r w:rsidR="00D446B4">
        <w:rPr>
          <w:rFonts w:ascii="Times New Roman" w:hAnsi="Times New Roman" w:cs="Times New Roman"/>
        </w:rPr>
        <w:t xml:space="preserve"> </w:t>
      </w:r>
      <w:proofErr w:type="spellStart"/>
      <w:r w:rsidR="00D446B4">
        <w:rPr>
          <w:rFonts w:ascii="Times New Roman" w:hAnsi="Times New Roman" w:cs="Times New Roman"/>
        </w:rPr>
        <w:t>Tebal</w:t>
      </w:r>
      <w:proofErr w:type="spellEnd"/>
      <w:r w:rsidR="00D446B4">
        <w:rPr>
          <w:rFonts w:ascii="Times New Roman" w:hAnsi="Times New Roman" w:cs="Times New Roman"/>
        </w:rPr>
        <w:t xml:space="preserve">, Penang (groundwater) and </w:t>
      </w:r>
      <w:proofErr w:type="spellStart"/>
      <w:r w:rsidR="00D446B4">
        <w:rPr>
          <w:rFonts w:ascii="Times New Roman" w:hAnsi="Times New Roman" w:cs="Times New Roman"/>
        </w:rPr>
        <w:t>Jalan</w:t>
      </w:r>
      <w:proofErr w:type="spellEnd"/>
      <w:r w:rsidR="00D446B4">
        <w:rPr>
          <w:rFonts w:ascii="Times New Roman" w:hAnsi="Times New Roman" w:cs="Times New Roman"/>
        </w:rPr>
        <w:t xml:space="preserve"> </w:t>
      </w:r>
      <w:proofErr w:type="spellStart"/>
      <w:r w:rsidR="00D446B4">
        <w:rPr>
          <w:rFonts w:ascii="Times New Roman" w:hAnsi="Times New Roman" w:cs="Times New Roman"/>
        </w:rPr>
        <w:t>Baru</w:t>
      </w:r>
      <w:proofErr w:type="spellEnd"/>
      <w:r w:rsidR="00D446B4">
        <w:rPr>
          <w:rFonts w:ascii="Times New Roman" w:hAnsi="Times New Roman" w:cs="Times New Roman"/>
        </w:rPr>
        <w:t xml:space="preserve">, Perak (river). </w:t>
      </w:r>
      <w:r w:rsidR="00F8251E">
        <w:rPr>
          <w:rFonts w:ascii="Times New Roman" w:hAnsi="Times New Roman" w:cs="Times New Roman"/>
        </w:rPr>
        <w:t>For THM formation, t</w:t>
      </w:r>
      <w:r w:rsidR="00D446B4">
        <w:rPr>
          <w:rFonts w:ascii="Times New Roman" w:hAnsi="Times New Roman" w:cs="Times New Roman"/>
        </w:rPr>
        <w:t xml:space="preserve">he raw water </w:t>
      </w:r>
      <w:r w:rsidR="00F8251E">
        <w:rPr>
          <w:rFonts w:ascii="Times New Roman" w:hAnsi="Times New Roman" w:cs="Times New Roman"/>
        </w:rPr>
        <w:t xml:space="preserve">collected </w:t>
      </w:r>
      <w:r w:rsidR="00D446B4">
        <w:rPr>
          <w:rFonts w:ascii="Times New Roman" w:hAnsi="Times New Roman" w:cs="Times New Roman"/>
        </w:rPr>
        <w:t>was filtered before disinfected using either chlorine or chlorine dioxide</w:t>
      </w:r>
      <w:r w:rsidR="00F8251E">
        <w:rPr>
          <w:rFonts w:ascii="Times New Roman" w:hAnsi="Times New Roman" w:cs="Times New Roman"/>
        </w:rPr>
        <w:t xml:space="preserve"> at 5mg/L. For each disinfectant, three pH (6, 7, and 8) and four contact times (1, 3, 6 and 24 </w:t>
      </w:r>
      <w:proofErr w:type="spellStart"/>
      <w:r w:rsidR="00F8251E">
        <w:rPr>
          <w:rFonts w:ascii="Times New Roman" w:hAnsi="Times New Roman" w:cs="Times New Roman"/>
        </w:rPr>
        <w:t>hr</w:t>
      </w:r>
      <w:proofErr w:type="spellEnd"/>
      <w:r w:rsidR="00F8251E">
        <w:rPr>
          <w:rFonts w:ascii="Times New Roman" w:hAnsi="Times New Roman" w:cs="Times New Roman"/>
        </w:rPr>
        <w:t xml:space="preserve">) were applied. All conditions were carried out in duplicates. After the contact time ended, each sample will be immediately extracted as per modified US EPA Method 551.1, </w:t>
      </w:r>
      <w:r w:rsidR="00F8251E" w:rsidRPr="00F8251E">
        <w:rPr>
          <w:rFonts w:ascii="Times New Roman" w:hAnsi="Times New Roman" w:cs="Times New Roman"/>
        </w:rPr>
        <w:t xml:space="preserve">using </w:t>
      </w:r>
      <w:proofErr w:type="spellStart"/>
      <w:r w:rsidR="00F8251E" w:rsidRPr="00F8251E">
        <w:rPr>
          <w:rFonts w:asciiTheme="majorBidi" w:hAnsiTheme="majorBidi" w:cstheme="majorBidi"/>
        </w:rPr>
        <w:t>methyltertiary</w:t>
      </w:r>
      <w:proofErr w:type="spellEnd"/>
      <w:r w:rsidR="00F8251E" w:rsidRPr="00F8251E">
        <w:rPr>
          <w:rFonts w:asciiTheme="majorBidi" w:hAnsiTheme="majorBidi" w:cstheme="majorBidi"/>
        </w:rPr>
        <w:t>-butyl ether (MTBE)</w:t>
      </w:r>
      <w:r w:rsidR="00F8251E">
        <w:rPr>
          <w:rFonts w:asciiTheme="majorBidi" w:hAnsiTheme="majorBidi" w:cstheme="majorBidi"/>
        </w:rPr>
        <w:t xml:space="preserve"> as extraction solvent. </w:t>
      </w:r>
      <w:r w:rsidR="00B86254">
        <w:rPr>
          <w:rFonts w:asciiTheme="majorBidi" w:hAnsiTheme="majorBidi" w:cstheme="majorBidi"/>
        </w:rPr>
        <w:t xml:space="preserve">The extracts were </w:t>
      </w:r>
      <w:r w:rsidR="00806582">
        <w:rPr>
          <w:rFonts w:asciiTheme="majorBidi" w:hAnsiTheme="majorBidi" w:cstheme="majorBidi"/>
        </w:rPr>
        <w:t xml:space="preserve">then </w:t>
      </w:r>
      <w:r w:rsidR="00B86254">
        <w:rPr>
          <w:rFonts w:asciiTheme="majorBidi" w:hAnsiTheme="majorBidi" w:cstheme="majorBidi"/>
        </w:rPr>
        <w:t xml:space="preserve">analysed by using gas chromatography – mass spectrophotometer (GC-MS) to determine the four THM </w:t>
      </w:r>
      <w:proofErr w:type="spellStart"/>
      <w:r w:rsidR="00B86254">
        <w:rPr>
          <w:rFonts w:asciiTheme="majorBidi" w:hAnsiTheme="majorBidi" w:cstheme="majorBidi"/>
        </w:rPr>
        <w:t>coumpounds</w:t>
      </w:r>
      <w:proofErr w:type="spellEnd"/>
      <w:r w:rsidR="00B86254">
        <w:rPr>
          <w:rFonts w:asciiTheme="majorBidi" w:hAnsiTheme="majorBidi" w:cstheme="majorBidi"/>
        </w:rPr>
        <w:t xml:space="preserve">; chloroform (CF), </w:t>
      </w:r>
      <w:proofErr w:type="spellStart"/>
      <w:r w:rsidR="00B86254">
        <w:rPr>
          <w:rFonts w:asciiTheme="majorBidi" w:hAnsiTheme="majorBidi" w:cstheme="majorBidi"/>
        </w:rPr>
        <w:t>dichlorobromomethane</w:t>
      </w:r>
      <w:proofErr w:type="spellEnd"/>
      <w:r w:rsidR="00B86254">
        <w:rPr>
          <w:rFonts w:asciiTheme="majorBidi" w:hAnsiTheme="majorBidi" w:cstheme="majorBidi"/>
        </w:rPr>
        <w:t xml:space="preserve"> (DCBM), </w:t>
      </w:r>
      <w:proofErr w:type="spellStart"/>
      <w:r w:rsidR="00B86254">
        <w:rPr>
          <w:rFonts w:asciiTheme="majorBidi" w:hAnsiTheme="majorBidi" w:cstheme="majorBidi"/>
        </w:rPr>
        <w:t>dibromochloromethane</w:t>
      </w:r>
      <w:proofErr w:type="spellEnd"/>
      <w:r w:rsidR="00B86254">
        <w:rPr>
          <w:rFonts w:asciiTheme="majorBidi" w:hAnsiTheme="majorBidi" w:cstheme="majorBidi"/>
        </w:rPr>
        <w:t xml:space="preserve"> (DBCM), and </w:t>
      </w:r>
      <w:proofErr w:type="spellStart"/>
      <w:r w:rsidR="00B86254">
        <w:rPr>
          <w:rFonts w:asciiTheme="majorBidi" w:hAnsiTheme="majorBidi" w:cstheme="majorBidi"/>
        </w:rPr>
        <w:t>bromoform</w:t>
      </w:r>
      <w:proofErr w:type="spellEnd"/>
      <w:r w:rsidR="00B86254">
        <w:rPr>
          <w:rFonts w:asciiTheme="majorBidi" w:hAnsiTheme="majorBidi" w:cstheme="majorBidi"/>
        </w:rPr>
        <w:t xml:space="preserve"> (BF). </w:t>
      </w:r>
    </w:p>
    <w:p w:rsidR="009C4374" w:rsidRPr="00F94CFD" w:rsidRDefault="009C4374" w:rsidP="009C4374">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lastRenderedPageBreak/>
        <w:t>Results and Conclusions</w:t>
      </w:r>
    </w:p>
    <w:p w:rsidR="009C4374" w:rsidRDefault="009C4374" w:rsidP="009C4374">
      <w:pPr>
        <w:pStyle w:val="IWAFirstparagraph"/>
        <w:spacing w:before="40" w:after="40" w:line="276" w:lineRule="auto"/>
        <w:ind w:firstLine="567"/>
        <w:rPr>
          <w:rFonts w:ascii="Times New Roman" w:hAnsi="Times New Roman" w:cs="Times New Roman"/>
        </w:rPr>
      </w:pPr>
      <w:r>
        <w:rPr>
          <w:rFonts w:ascii="Times New Roman" w:hAnsi="Times New Roman" w:cs="Times New Roman"/>
        </w:rPr>
        <w:t xml:space="preserve">From the samplings carried out at both sites, the organic contents of both waters were slightly different.  As shown in Table 1.1, specific UV absorbance (SUVA) value for groundwater was higher. This indicates higher organic content that might act as precursor for THM formation. </w:t>
      </w:r>
    </w:p>
    <w:p w:rsidR="003E51F0" w:rsidRPr="003E51F0" w:rsidRDefault="003E51F0" w:rsidP="003E51F0">
      <w:pPr>
        <w:pStyle w:val="IWANormalParagraph"/>
      </w:pPr>
    </w:p>
    <w:p w:rsidR="009C4374" w:rsidRDefault="009C4374" w:rsidP="009C4374">
      <w:pPr>
        <w:pStyle w:val="IWATableFigureheading"/>
        <w:spacing w:beforeLines="40" w:before="96" w:afterLines="40" w:after="96" w:line="276" w:lineRule="auto"/>
        <w:jc w:val="center"/>
        <w:rPr>
          <w:rFonts w:ascii="Times New Roman" w:hAnsi="Times New Roman"/>
          <w:sz w:val="22"/>
          <w:szCs w:val="22"/>
        </w:rPr>
      </w:pPr>
      <w:r w:rsidRPr="00F94CFD">
        <w:rPr>
          <w:rFonts w:ascii="Times New Roman" w:hAnsi="Times New Roman"/>
          <w:b/>
          <w:sz w:val="22"/>
          <w:szCs w:val="22"/>
        </w:rPr>
        <w:t xml:space="preserve">Table 1.1 </w:t>
      </w:r>
      <w:r>
        <w:rPr>
          <w:rFonts w:ascii="Times New Roman" w:hAnsi="Times New Roman"/>
          <w:sz w:val="22"/>
          <w:szCs w:val="22"/>
        </w:rPr>
        <w:t>Organic content parameters of both sampling sites.</w:t>
      </w:r>
    </w:p>
    <w:tbl>
      <w:tblPr>
        <w:tblStyle w:val="TableGrid"/>
        <w:tblW w:w="7245" w:type="dxa"/>
        <w:jc w:val="center"/>
        <w:tblInd w:w="-476" w:type="dxa"/>
        <w:tblLayout w:type="fixed"/>
        <w:tblLook w:val="04A0" w:firstRow="1" w:lastRow="0" w:firstColumn="1" w:lastColumn="0" w:noHBand="0" w:noVBand="1"/>
      </w:tblPr>
      <w:tblGrid>
        <w:gridCol w:w="2130"/>
        <w:gridCol w:w="1636"/>
        <w:gridCol w:w="1618"/>
        <w:gridCol w:w="1861"/>
      </w:tblGrid>
      <w:tr w:rsidR="009C4374" w:rsidTr="0081396E">
        <w:trPr>
          <w:jc w:val="center"/>
        </w:trPr>
        <w:tc>
          <w:tcPr>
            <w:tcW w:w="2130" w:type="dxa"/>
            <w:vAlign w:val="center"/>
          </w:tcPr>
          <w:p w:rsidR="009C4374" w:rsidRPr="00806582" w:rsidRDefault="009C4374" w:rsidP="0081396E">
            <w:pPr>
              <w:jc w:val="center"/>
              <w:rPr>
                <w:rFonts w:asciiTheme="majorBidi" w:hAnsiTheme="majorBidi" w:cstheme="majorBidi"/>
                <w:sz w:val="22"/>
                <w:szCs w:val="22"/>
              </w:rPr>
            </w:pPr>
            <w:r>
              <w:rPr>
                <w:rFonts w:asciiTheme="majorBidi" w:hAnsiTheme="majorBidi" w:cstheme="majorBidi"/>
                <w:sz w:val="22"/>
                <w:szCs w:val="22"/>
              </w:rPr>
              <w:t>S</w:t>
            </w:r>
            <w:r w:rsidRPr="00806582">
              <w:rPr>
                <w:rFonts w:asciiTheme="majorBidi" w:hAnsiTheme="majorBidi" w:cstheme="majorBidi"/>
                <w:sz w:val="22"/>
                <w:szCs w:val="22"/>
              </w:rPr>
              <w:t>ources</w:t>
            </w:r>
          </w:p>
        </w:tc>
        <w:tc>
          <w:tcPr>
            <w:tcW w:w="1636" w:type="dxa"/>
            <w:vAlign w:val="center"/>
          </w:tcPr>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DOC (mg/L)</w:t>
            </w:r>
          </w:p>
        </w:tc>
        <w:tc>
          <w:tcPr>
            <w:tcW w:w="1618" w:type="dxa"/>
            <w:vAlign w:val="center"/>
          </w:tcPr>
          <w:p w:rsidR="009C4374" w:rsidRPr="00806582" w:rsidRDefault="009C4374" w:rsidP="0081396E">
            <w:pPr>
              <w:jc w:val="center"/>
              <w:rPr>
                <w:rFonts w:asciiTheme="majorBidi" w:hAnsiTheme="majorBidi" w:cstheme="majorBidi"/>
                <w:sz w:val="22"/>
                <w:szCs w:val="22"/>
                <w:vertAlign w:val="subscript"/>
              </w:rPr>
            </w:pPr>
            <w:r w:rsidRPr="00806582">
              <w:rPr>
                <w:rFonts w:asciiTheme="majorBidi" w:hAnsiTheme="majorBidi" w:cstheme="majorBidi"/>
                <w:sz w:val="22"/>
                <w:szCs w:val="22"/>
              </w:rPr>
              <w:t>UV</w:t>
            </w:r>
            <w:r w:rsidRPr="00806582">
              <w:rPr>
                <w:rFonts w:asciiTheme="majorBidi" w:hAnsiTheme="majorBidi" w:cstheme="majorBidi"/>
                <w:sz w:val="22"/>
                <w:szCs w:val="22"/>
                <w:vertAlign w:val="subscript"/>
              </w:rPr>
              <w:t>254</w:t>
            </w:r>
          </w:p>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(cm-</w:t>
            </w:r>
            <w:r w:rsidRPr="00806582">
              <w:rPr>
                <w:rFonts w:asciiTheme="majorBidi" w:hAnsiTheme="majorBidi" w:cstheme="majorBidi"/>
                <w:sz w:val="22"/>
                <w:szCs w:val="22"/>
                <w:vertAlign w:val="superscript"/>
              </w:rPr>
              <w:t>1</w:t>
            </w:r>
            <w:r w:rsidRPr="00806582">
              <w:rPr>
                <w:rFonts w:asciiTheme="majorBidi" w:hAnsiTheme="majorBidi" w:cstheme="majorBidi"/>
                <w:sz w:val="22"/>
                <w:szCs w:val="22"/>
              </w:rPr>
              <w:t>)</w:t>
            </w:r>
          </w:p>
        </w:tc>
        <w:tc>
          <w:tcPr>
            <w:tcW w:w="1861" w:type="dxa"/>
            <w:vAlign w:val="center"/>
          </w:tcPr>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SUVA</w:t>
            </w:r>
          </w:p>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(L/mg-m)</w:t>
            </w:r>
          </w:p>
        </w:tc>
      </w:tr>
      <w:tr w:rsidR="009C4374" w:rsidTr="0081396E">
        <w:trPr>
          <w:trHeight w:val="307"/>
          <w:jc w:val="center"/>
        </w:trPr>
        <w:tc>
          <w:tcPr>
            <w:tcW w:w="2130" w:type="dxa"/>
            <w:vAlign w:val="center"/>
          </w:tcPr>
          <w:p w:rsidR="009C4374" w:rsidRPr="00806582" w:rsidRDefault="009C4374" w:rsidP="0081396E">
            <w:pPr>
              <w:jc w:val="center"/>
              <w:rPr>
                <w:rFonts w:asciiTheme="majorBidi" w:hAnsiTheme="majorBidi" w:cstheme="majorBidi"/>
                <w:sz w:val="22"/>
                <w:szCs w:val="22"/>
              </w:rPr>
            </w:pPr>
            <w:r>
              <w:rPr>
                <w:rFonts w:asciiTheme="majorBidi" w:hAnsiTheme="majorBidi" w:cstheme="majorBidi"/>
                <w:sz w:val="22"/>
                <w:szCs w:val="22"/>
              </w:rPr>
              <w:t>G</w:t>
            </w:r>
            <w:r w:rsidRPr="00806582">
              <w:rPr>
                <w:rFonts w:asciiTheme="majorBidi" w:hAnsiTheme="majorBidi" w:cstheme="majorBidi"/>
                <w:sz w:val="22"/>
                <w:szCs w:val="22"/>
              </w:rPr>
              <w:t>roundwater</w:t>
            </w:r>
          </w:p>
        </w:tc>
        <w:tc>
          <w:tcPr>
            <w:tcW w:w="1636" w:type="dxa"/>
            <w:vAlign w:val="center"/>
          </w:tcPr>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 xml:space="preserve">9.103 – 9.174 </w:t>
            </w:r>
          </w:p>
        </w:tc>
        <w:tc>
          <w:tcPr>
            <w:tcW w:w="1618" w:type="dxa"/>
            <w:vAlign w:val="center"/>
          </w:tcPr>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1.311 – 1.328</w:t>
            </w:r>
          </w:p>
        </w:tc>
        <w:tc>
          <w:tcPr>
            <w:tcW w:w="1861" w:type="dxa"/>
            <w:vAlign w:val="center"/>
          </w:tcPr>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14.345 – 14.531</w:t>
            </w:r>
          </w:p>
        </w:tc>
      </w:tr>
      <w:tr w:rsidR="009C4374" w:rsidTr="0081396E">
        <w:trPr>
          <w:trHeight w:val="371"/>
          <w:jc w:val="center"/>
        </w:trPr>
        <w:tc>
          <w:tcPr>
            <w:tcW w:w="2130" w:type="dxa"/>
            <w:vAlign w:val="center"/>
          </w:tcPr>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Surface</w:t>
            </w:r>
            <w:r>
              <w:rPr>
                <w:rFonts w:asciiTheme="majorBidi" w:hAnsiTheme="majorBidi" w:cstheme="majorBidi"/>
                <w:sz w:val="22"/>
                <w:szCs w:val="22"/>
              </w:rPr>
              <w:t xml:space="preserve"> </w:t>
            </w:r>
            <w:r w:rsidRPr="00806582">
              <w:rPr>
                <w:rFonts w:asciiTheme="majorBidi" w:hAnsiTheme="majorBidi" w:cstheme="majorBidi"/>
                <w:sz w:val="22"/>
                <w:szCs w:val="22"/>
              </w:rPr>
              <w:t>Water</w:t>
            </w:r>
          </w:p>
        </w:tc>
        <w:tc>
          <w:tcPr>
            <w:tcW w:w="1636" w:type="dxa"/>
            <w:vAlign w:val="center"/>
          </w:tcPr>
          <w:p w:rsidR="009C4374" w:rsidRPr="00806582" w:rsidRDefault="009C4374" w:rsidP="0081396E">
            <w:pPr>
              <w:rPr>
                <w:rFonts w:asciiTheme="majorBidi" w:hAnsiTheme="majorBidi" w:cstheme="majorBidi"/>
                <w:sz w:val="22"/>
                <w:szCs w:val="22"/>
              </w:rPr>
            </w:pPr>
            <w:r w:rsidRPr="00806582">
              <w:rPr>
                <w:rFonts w:asciiTheme="majorBidi" w:hAnsiTheme="majorBidi" w:cstheme="majorBidi"/>
                <w:sz w:val="22"/>
                <w:szCs w:val="22"/>
              </w:rPr>
              <w:t>1.573 – 9.889</w:t>
            </w:r>
          </w:p>
        </w:tc>
        <w:tc>
          <w:tcPr>
            <w:tcW w:w="1618" w:type="dxa"/>
            <w:vAlign w:val="center"/>
          </w:tcPr>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0.093 – 0.099</w:t>
            </w:r>
          </w:p>
        </w:tc>
        <w:tc>
          <w:tcPr>
            <w:tcW w:w="1861" w:type="dxa"/>
            <w:vAlign w:val="center"/>
          </w:tcPr>
          <w:p w:rsidR="009C4374" w:rsidRPr="00806582" w:rsidRDefault="009C4374" w:rsidP="0081396E">
            <w:pPr>
              <w:jc w:val="center"/>
              <w:rPr>
                <w:rFonts w:asciiTheme="majorBidi" w:hAnsiTheme="majorBidi" w:cstheme="majorBidi"/>
                <w:sz w:val="22"/>
                <w:szCs w:val="22"/>
              </w:rPr>
            </w:pPr>
            <w:r w:rsidRPr="00806582">
              <w:rPr>
                <w:rFonts w:asciiTheme="majorBidi" w:hAnsiTheme="majorBidi" w:cstheme="majorBidi"/>
                <w:sz w:val="22"/>
                <w:szCs w:val="22"/>
              </w:rPr>
              <w:t>0.940 – 1.001</w:t>
            </w:r>
          </w:p>
        </w:tc>
      </w:tr>
    </w:tbl>
    <w:p w:rsidR="009C4374" w:rsidRDefault="009C4374" w:rsidP="009C4374">
      <w:pPr>
        <w:pStyle w:val="IWANormalParagraph"/>
        <w:suppressLineNumbers/>
        <w:overflowPunct w:val="0"/>
        <w:autoSpaceDE w:val="0"/>
        <w:autoSpaceDN w:val="0"/>
        <w:adjustRightInd w:val="0"/>
        <w:spacing w:before="40" w:after="40" w:line="276" w:lineRule="auto"/>
        <w:ind w:firstLine="567"/>
        <w:textAlignment w:val="baseline"/>
        <w:rPr>
          <w:rFonts w:ascii="Times New Roman" w:hAnsi="Times New Roman" w:cs="Times New Roman"/>
          <w:lang w:val="en-MY"/>
        </w:rPr>
      </w:pPr>
    </w:p>
    <w:p w:rsidR="00F10FE8" w:rsidRDefault="00F10FE8" w:rsidP="00924CD1">
      <w:pPr>
        <w:pStyle w:val="IWANormalParagraph"/>
        <w:suppressLineNumbers/>
        <w:overflowPunct w:val="0"/>
        <w:autoSpaceDE w:val="0"/>
        <w:autoSpaceDN w:val="0"/>
        <w:adjustRightInd w:val="0"/>
        <w:spacing w:before="40" w:after="40" w:line="276" w:lineRule="auto"/>
        <w:ind w:firstLine="567"/>
        <w:textAlignment w:val="baseline"/>
        <w:rPr>
          <w:rFonts w:asciiTheme="majorBidi" w:hAnsiTheme="majorBidi" w:cstheme="majorBidi"/>
        </w:rPr>
      </w:pPr>
      <w:r w:rsidRPr="00924CD1">
        <w:rPr>
          <w:rFonts w:ascii="Times New Roman" w:hAnsi="Times New Roman" w:cs="Times New Roman"/>
          <w:lang w:val="en-MY"/>
        </w:rPr>
        <w:t xml:space="preserve">Out of the four THM compounds, only BDCM was found in all samples. The discussion in this part will be in term of total THM (TTHM) so that it can better reflect a parameter in the Malaysia Drinking Water Standard that is being constantly monitored. As illustrated in Figure 1.1 and 1.2, THM formation from both </w:t>
      </w:r>
      <w:r w:rsidR="009F42DE">
        <w:rPr>
          <w:rFonts w:ascii="Times New Roman" w:hAnsi="Times New Roman" w:cs="Times New Roman"/>
          <w:lang w:val="en-MY"/>
        </w:rPr>
        <w:t xml:space="preserve">sampling </w:t>
      </w:r>
      <w:r w:rsidRPr="00924CD1">
        <w:rPr>
          <w:rFonts w:ascii="Times New Roman" w:hAnsi="Times New Roman" w:cs="Times New Roman"/>
          <w:lang w:val="en-MY"/>
        </w:rPr>
        <w:t xml:space="preserve">sites show the same trend where THM formed higher </w:t>
      </w:r>
      <w:r w:rsidR="00924CD1" w:rsidRPr="00924CD1">
        <w:rPr>
          <w:rFonts w:ascii="Times New Roman" w:hAnsi="Times New Roman" w:cs="Times New Roman"/>
          <w:lang w:val="en-MY"/>
        </w:rPr>
        <w:t>i</w:t>
      </w:r>
      <w:r w:rsidRPr="00924CD1">
        <w:rPr>
          <w:rFonts w:ascii="Times New Roman" w:hAnsi="Times New Roman" w:cs="Times New Roman"/>
          <w:lang w:val="en-MY"/>
        </w:rPr>
        <w:t>n water disinfected using chlorine compared to chlorine dioxide</w:t>
      </w:r>
      <w:r w:rsidR="00924CD1" w:rsidRPr="00924CD1">
        <w:rPr>
          <w:rFonts w:ascii="Times New Roman" w:hAnsi="Times New Roman" w:cs="Times New Roman"/>
          <w:lang w:val="en-MY"/>
        </w:rPr>
        <w:t xml:space="preserve">. The maximum THM formation for groundwater and surface water were both formed when using chlorine at </w:t>
      </w:r>
      <w:r w:rsidR="00924CD1" w:rsidRPr="00924CD1">
        <w:rPr>
          <w:rFonts w:asciiTheme="majorBidi" w:hAnsiTheme="majorBidi" w:cstheme="majorBidi"/>
        </w:rPr>
        <w:t>49.4 µg/L</w:t>
      </w:r>
      <w:r w:rsidR="00924CD1" w:rsidRPr="00924CD1">
        <w:rPr>
          <w:rFonts w:asciiTheme="majorBidi" w:hAnsiTheme="majorBidi" w:cstheme="majorBidi"/>
        </w:rPr>
        <w:t xml:space="preserve"> (</w:t>
      </w:r>
      <w:r w:rsidR="00924CD1">
        <w:rPr>
          <w:rFonts w:asciiTheme="majorBidi" w:hAnsiTheme="majorBidi" w:cstheme="majorBidi"/>
        </w:rPr>
        <w:t xml:space="preserve">at pH </w:t>
      </w:r>
      <w:r w:rsidR="00924CD1" w:rsidRPr="00924CD1">
        <w:rPr>
          <w:rFonts w:asciiTheme="majorBidi" w:hAnsiTheme="majorBidi" w:cstheme="majorBidi"/>
        </w:rPr>
        <w:t xml:space="preserve">7) and </w:t>
      </w:r>
      <w:r w:rsidR="00924CD1" w:rsidRPr="00924CD1">
        <w:rPr>
          <w:rFonts w:asciiTheme="majorBidi" w:hAnsiTheme="majorBidi" w:cstheme="majorBidi"/>
        </w:rPr>
        <w:t>43.2 µg/L</w:t>
      </w:r>
      <w:r w:rsidR="00924CD1" w:rsidRPr="00924CD1">
        <w:rPr>
          <w:rFonts w:asciiTheme="majorBidi" w:hAnsiTheme="majorBidi" w:cstheme="majorBidi"/>
        </w:rPr>
        <w:t xml:space="preserve"> (at pH 6), respectively.</w:t>
      </w:r>
    </w:p>
    <w:p w:rsidR="00B96FF6" w:rsidRPr="00847618" w:rsidRDefault="00B96FF6" w:rsidP="007372C8">
      <w:pPr>
        <w:pStyle w:val="IWANormalParagraph"/>
        <w:suppressLineNumbers/>
        <w:overflowPunct w:val="0"/>
        <w:autoSpaceDE w:val="0"/>
        <w:autoSpaceDN w:val="0"/>
        <w:adjustRightInd w:val="0"/>
        <w:spacing w:before="40" w:after="40" w:line="276" w:lineRule="auto"/>
        <w:ind w:firstLine="567"/>
        <w:textAlignment w:val="baseline"/>
        <w:rPr>
          <w:rFonts w:asciiTheme="majorBidi" w:hAnsiTheme="majorBidi" w:cstheme="majorBidi"/>
        </w:rPr>
      </w:pPr>
      <w:r w:rsidRPr="00B96FF6">
        <w:rPr>
          <w:rFonts w:asciiTheme="majorBidi" w:hAnsiTheme="majorBidi" w:cstheme="majorBidi"/>
        </w:rPr>
        <w:t>With respect to contact time, for groundwater</w:t>
      </w:r>
      <w:r w:rsidR="00FE63A9">
        <w:rPr>
          <w:rFonts w:asciiTheme="majorBidi" w:hAnsiTheme="majorBidi" w:cstheme="majorBidi"/>
        </w:rPr>
        <w:t xml:space="preserve"> (Figure 1.1)</w:t>
      </w:r>
      <w:r w:rsidRPr="00B96FF6">
        <w:rPr>
          <w:rFonts w:asciiTheme="majorBidi" w:hAnsiTheme="majorBidi" w:cstheme="majorBidi"/>
        </w:rPr>
        <w:t xml:space="preserve">, </w:t>
      </w:r>
      <w:r w:rsidRPr="00B96FF6">
        <w:rPr>
          <w:rFonts w:asciiTheme="majorBidi" w:hAnsiTheme="majorBidi" w:cstheme="majorBidi"/>
        </w:rPr>
        <w:t xml:space="preserve">TTHM formation level at pH 6 </w:t>
      </w:r>
      <w:r>
        <w:rPr>
          <w:rFonts w:asciiTheme="majorBidi" w:hAnsiTheme="majorBidi" w:cstheme="majorBidi"/>
        </w:rPr>
        <w:t>when applying</w:t>
      </w:r>
      <w:r w:rsidRPr="00B96FF6">
        <w:rPr>
          <w:rFonts w:asciiTheme="majorBidi" w:hAnsiTheme="majorBidi" w:cstheme="majorBidi"/>
        </w:rPr>
        <w:t xml:space="preserve"> Cl</w:t>
      </w:r>
      <w:r w:rsidRPr="00B96FF6">
        <w:rPr>
          <w:rFonts w:asciiTheme="majorBidi" w:hAnsiTheme="majorBidi" w:cstheme="majorBidi"/>
          <w:vertAlign w:val="subscript"/>
        </w:rPr>
        <w:t>2</w:t>
      </w:r>
      <w:r w:rsidRPr="00B96FF6">
        <w:rPr>
          <w:rFonts w:asciiTheme="majorBidi" w:hAnsiTheme="majorBidi" w:cstheme="majorBidi"/>
        </w:rPr>
        <w:t xml:space="preserve"> as disinfectant obviously shows that the TTHM increased as contact time increased. Ho</w:t>
      </w:r>
      <w:r w:rsidRPr="00B96FF6">
        <w:rPr>
          <w:rFonts w:asciiTheme="majorBidi" w:hAnsiTheme="majorBidi" w:cstheme="majorBidi"/>
        </w:rPr>
        <w:t>wever, compared to</w:t>
      </w:r>
      <w:r w:rsidRPr="00B96FF6">
        <w:rPr>
          <w:rFonts w:asciiTheme="majorBidi" w:hAnsiTheme="majorBidi" w:cstheme="majorBidi"/>
        </w:rPr>
        <w:t xml:space="preserve"> ClO</w:t>
      </w:r>
      <w:r w:rsidRPr="00B96FF6">
        <w:rPr>
          <w:rFonts w:asciiTheme="majorBidi" w:hAnsiTheme="majorBidi" w:cstheme="majorBidi"/>
          <w:vertAlign w:val="subscript"/>
        </w:rPr>
        <w:t>2</w:t>
      </w:r>
      <w:r w:rsidRPr="00B96FF6">
        <w:rPr>
          <w:rFonts w:asciiTheme="majorBidi" w:hAnsiTheme="majorBidi" w:cstheme="majorBidi"/>
        </w:rPr>
        <w:t xml:space="preserve"> at pH 6, the formation level of TTHM</w:t>
      </w:r>
      <w:r w:rsidR="007372C8">
        <w:rPr>
          <w:rFonts w:asciiTheme="majorBidi" w:hAnsiTheme="majorBidi" w:cstheme="majorBidi"/>
        </w:rPr>
        <w:t xml:space="preserve"> increased </w:t>
      </w:r>
      <w:r w:rsidRPr="00B96FF6">
        <w:rPr>
          <w:rFonts w:asciiTheme="majorBidi" w:hAnsiTheme="majorBidi" w:cstheme="majorBidi"/>
        </w:rPr>
        <w:t>gradually until 6 hours and later decreased until the 24 hours</w:t>
      </w:r>
      <w:r w:rsidR="007372C8">
        <w:rPr>
          <w:rFonts w:asciiTheme="majorBidi" w:hAnsiTheme="majorBidi" w:cstheme="majorBidi"/>
        </w:rPr>
        <w:t>. For both w</w:t>
      </w:r>
      <w:bookmarkStart w:id="0" w:name="_GoBack"/>
      <w:bookmarkEnd w:id="0"/>
      <w:r w:rsidR="007372C8">
        <w:rPr>
          <w:rFonts w:asciiTheme="majorBidi" w:hAnsiTheme="majorBidi" w:cstheme="majorBidi"/>
        </w:rPr>
        <w:t xml:space="preserve">ater sources, at pH 7 using </w:t>
      </w:r>
      <w:r w:rsidR="007372C8">
        <w:rPr>
          <w:rFonts w:asciiTheme="majorBidi" w:hAnsiTheme="majorBidi" w:cstheme="majorBidi"/>
        </w:rPr>
        <w:t>Cl</w:t>
      </w:r>
      <w:r w:rsidR="007372C8">
        <w:rPr>
          <w:rFonts w:asciiTheme="majorBidi" w:hAnsiTheme="majorBidi" w:cstheme="majorBidi"/>
          <w:vertAlign w:val="subscript"/>
        </w:rPr>
        <w:t>2</w:t>
      </w:r>
      <w:r w:rsidR="007372C8">
        <w:rPr>
          <w:rFonts w:asciiTheme="majorBidi" w:hAnsiTheme="majorBidi" w:cstheme="majorBidi"/>
        </w:rPr>
        <w:t xml:space="preserve">, TTHM level dropped drastically at 3 hours before continuing a gradual increase until 24 hours. </w:t>
      </w:r>
      <w:r w:rsidR="00847618">
        <w:rPr>
          <w:rFonts w:asciiTheme="majorBidi" w:hAnsiTheme="majorBidi" w:cstheme="majorBidi"/>
        </w:rPr>
        <w:t xml:space="preserve">For surface water a straight gradual increase can also be seen when using </w:t>
      </w:r>
      <w:r w:rsidR="00847618">
        <w:rPr>
          <w:rFonts w:asciiTheme="majorBidi" w:hAnsiTheme="majorBidi" w:cstheme="majorBidi"/>
        </w:rPr>
        <w:t>Cl</w:t>
      </w:r>
      <w:r w:rsidR="00847618">
        <w:rPr>
          <w:rFonts w:asciiTheme="majorBidi" w:hAnsiTheme="majorBidi" w:cstheme="majorBidi"/>
          <w:vertAlign w:val="subscript"/>
        </w:rPr>
        <w:t>2</w:t>
      </w:r>
      <w:r w:rsidR="00847618">
        <w:rPr>
          <w:rFonts w:asciiTheme="majorBidi" w:hAnsiTheme="majorBidi" w:cstheme="majorBidi"/>
        </w:rPr>
        <w:t xml:space="preserve"> at pH 8. However no such trend was found when using </w:t>
      </w:r>
      <w:r w:rsidR="00847618">
        <w:rPr>
          <w:rFonts w:asciiTheme="majorBidi" w:hAnsiTheme="majorBidi" w:cstheme="majorBidi"/>
        </w:rPr>
        <w:t>ClO</w:t>
      </w:r>
      <w:r w:rsidR="00847618">
        <w:rPr>
          <w:rFonts w:asciiTheme="majorBidi" w:hAnsiTheme="majorBidi" w:cstheme="majorBidi"/>
          <w:vertAlign w:val="subscript"/>
        </w:rPr>
        <w:t>2</w:t>
      </w:r>
      <w:r w:rsidR="00847618">
        <w:rPr>
          <w:rFonts w:asciiTheme="majorBidi" w:hAnsiTheme="majorBidi" w:cstheme="majorBidi"/>
        </w:rPr>
        <w:t xml:space="preserve"> for both groundwater and surface water. </w:t>
      </w:r>
    </w:p>
    <w:p w:rsidR="00E246C2" w:rsidRDefault="00847618" w:rsidP="00E246C2">
      <w:pPr>
        <w:pStyle w:val="IWANormalParagraph"/>
        <w:suppressLineNumbers/>
        <w:overflowPunct w:val="0"/>
        <w:autoSpaceDE w:val="0"/>
        <w:autoSpaceDN w:val="0"/>
        <w:adjustRightInd w:val="0"/>
        <w:spacing w:before="40" w:after="40" w:line="276" w:lineRule="auto"/>
        <w:ind w:firstLine="567"/>
        <w:textAlignment w:val="baseline"/>
        <w:rPr>
          <w:rFonts w:asciiTheme="majorBidi" w:hAnsiTheme="majorBidi" w:cstheme="majorBidi"/>
        </w:rPr>
      </w:pPr>
      <w:r>
        <w:rPr>
          <w:rFonts w:asciiTheme="majorBidi" w:hAnsiTheme="majorBidi" w:cstheme="majorBidi"/>
        </w:rPr>
        <w:t>With respect to pH</w:t>
      </w:r>
      <w:r w:rsidR="009F42DE">
        <w:rPr>
          <w:rFonts w:asciiTheme="majorBidi" w:hAnsiTheme="majorBidi" w:cstheme="majorBidi"/>
        </w:rPr>
        <w:t xml:space="preserve">, pH 7 formed higher TTHM compared to other pH, except when using </w:t>
      </w:r>
      <w:r w:rsidR="009F42DE">
        <w:rPr>
          <w:rFonts w:asciiTheme="majorBidi" w:hAnsiTheme="majorBidi" w:cstheme="majorBidi"/>
        </w:rPr>
        <w:t>ClO</w:t>
      </w:r>
      <w:r w:rsidR="009F42DE">
        <w:rPr>
          <w:rFonts w:asciiTheme="majorBidi" w:hAnsiTheme="majorBidi" w:cstheme="majorBidi"/>
          <w:vertAlign w:val="subscript"/>
        </w:rPr>
        <w:t>2</w:t>
      </w:r>
      <w:r w:rsidR="009F42DE">
        <w:rPr>
          <w:rFonts w:asciiTheme="majorBidi" w:hAnsiTheme="majorBidi" w:cstheme="majorBidi"/>
        </w:rPr>
        <w:t xml:space="preserve"> for groundwater. The lowest TTHM levels were also at pH 7, at 3 hours contact time, for </w:t>
      </w:r>
      <w:r w:rsidR="009F42DE">
        <w:rPr>
          <w:rFonts w:asciiTheme="majorBidi" w:hAnsiTheme="majorBidi" w:cstheme="majorBidi"/>
        </w:rPr>
        <w:t>Cl</w:t>
      </w:r>
      <w:r w:rsidR="009F42DE">
        <w:rPr>
          <w:rFonts w:asciiTheme="majorBidi" w:hAnsiTheme="majorBidi" w:cstheme="majorBidi"/>
          <w:vertAlign w:val="subscript"/>
        </w:rPr>
        <w:t>2</w:t>
      </w:r>
      <w:r w:rsidR="009F42DE">
        <w:rPr>
          <w:rFonts w:asciiTheme="majorBidi" w:hAnsiTheme="majorBidi" w:cstheme="majorBidi"/>
        </w:rPr>
        <w:t xml:space="preserve"> and </w:t>
      </w:r>
      <w:r w:rsidR="009F42DE">
        <w:rPr>
          <w:rFonts w:asciiTheme="majorBidi" w:hAnsiTheme="majorBidi" w:cstheme="majorBidi"/>
        </w:rPr>
        <w:t>ClO</w:t>
      </w:r>
      <w:r w:rsidR="009F42DE">
        <w:rPr>
          <w:rFonts w:asciiTheme="majorBidi" w:hAnsiTheme="majorBidi" w:cstheme="majorBidi"/>
          <w:vertAlign w:val="subscript"/>
        </w:rPr>
        <w:t>2</w:t>
      </w:r>
      <w:r w:rsidR="009F42DE">
        <w:rPr>
          <w:rFonts w:asciiTheme="majorBidi" w:hAnsiTheme="majorBidi" w:cstheme="majorBidi"/>
        </w:rPr>
        <w:t xml:space="preserve"> at concentrations of </w:t>
      </w:r>
      <w:proofErr w:type="gramStart"/>
      <w:r w:rsidR="009F42DE">
        <w:rPr>
          <w:rFonts w:asciiTheme="majorBidi" w:hAnsiTheme="majorBidi" w:cstheme="majorBidi"/>
        </w:rPr>
        <w:t xml:space="preserve">7.7 </w:t>
      </w:r>
      <w:r w:rsidR="009F42DE" w:rsidRPr="00924CD1">
        <w:rPr>
          <w:rFonts w:asciiTheme="majorBidi" w:hAnsiTheme="majorBidi" w:cstheme="majorBidi"/>
        </w:rPr>
        <w:t>µg/L</w:t>
      </w:r>
      <w:proofErr w:type="gramEnd"/>
      <w:r w:rsidR="009F42DE">
        <w:rPr>
          <w:rFonts w:asciiTheme="majorBidi" w:hAnsiTheme="majorBidi" w:cstheme="majorBidi"/>
        </w:rPr>
        <w:t xml:space="preserve"> and 5.4 </w:t>
      </w:r>
      <w:r w:rsidR="009F42DE" w:rsidRPr="00924CD1">
        <w:rPr>
          <w:rFonts w:asciiTheme="majorBidi" w:hAnsiTheme="majorBidi" w:cstheme="majorBidi"/>
        </w:rPr>
        <w:t>µg/L</w:t>
      </w:r>
      <w:r w:rsidR="009F42DE">
        <w:rPr>
          <w:rFonts w:asciiTheme="majorBidi" w:hAnsiTheme="majorBidi" w:cstheme="majorBidi"/>
        </w:rPr>
        <w:t xml:space="preserve">, respectively. </w:t>
      </w:r>
    </w:p>
    <w:p w:rsidR="00E246C2" w:rsidRDefault="00E246C2" w:rsidP="00E246C2">
      <w:pPr>
        <w:pStyle w:val="IWANormalParagraph"/>
        <w:suppressLineNumbers/>
        <w:overflowPunct w:val="0"/>
        <w:autoSpaceDE w:val="0"/>
        <w:autoSpaceDN w:val="0"/>
        <w:adjustRightInd w:val="0"/>
        <w:spacing w:before="40" w:after="40" w:line="276" w:lineRule="auto"/>
        <w:ind w:firstLine="567"/>
        <w:textAlignment w:val="baseline"/>
        <w:rPr>
          <w:rFonts w:asciiTheme="majorBidi" w:hAnsiTheme="majorBidi" w:cstheme="majorBidi"/>
        </w:rPr>
      </w:pPr>
    </w:p>
    <w:p w:rsidR="00E246C2" w:rsidRDefault="00E246C2" w:rsidP="00E246C2">
      <w:pPr>
        <w:pStyle w:val="IWANormalParagraph"/>
        <w:suppressLineNumbers/>
        <w:overflowPunct w:val="0"/>
        <w:autoSpaceDE w:val="0"/>
        <w:autoSpaceDN w:val="0"/>
        <w:adjustRightInd w:val="0"/>
        <w:spacing w:before="40" w:after="40" w:line="276" w:lineRule="auto"/>
        <w:ind w:firstLine="567"/>
        <w:textAlignment w:val="baseline"/>
        <w:rPr>
          <w:rFonts w:asciiTheme="majorBidi" w:hAnsiTheme="majorBidi" w:cstheme="majorBidi"/>
        </w:rPr>
      </w:pPr>
    </w:p>
    <w:p w:rsidR="009C4374" w:rsidRPr="00F94CFD" w:rsidRDefault="009C4374" w:rsidP="00E246C2">
      <w:pPr>
        <w:pStyle w:val="IWANormalParagraph"/>
        <w:suppressLineNumbers/>
        <w:overflowPunct w:val="0"/>
        <w:autoSpaceDE w:val="0"/>
        <w:autoSpaceDN w:val="0"/>
        <w:adjustRightInd w:val="0"/>
        <w:spacing w:before="40" w:after="40" w:line="276" w:lineRule="auto"/>
        <w:ind w:firstLine="0"/>
        <w:jc w:val="center"/>
        <w:textAlignment w:val="baseline"/>
        <w:rPr>
          <w:rFonts w:ascii="Times New Roman" w:hAnsi="Times New Roman"/>
        </w:rPr>
      </w:pPr>
      <w:r>
        <w:rPr>
          <w:noProof/>
          <w:lang w:eastAsia="ko-KR"/>
        </w:rPr>
        <w:lastRenderedPageBreak/>
        <w:drawing>
          <wp:inline distT="0" distB="0" distL="0" distR="0" wp14:anchorId="1D0DD0EF" wp14:editId="361510DB">
            <wp:extent cx="3244133" cy="2083242"/>
            <wp:effectExtent l="0" t="0" r="1397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C4374" w:rsidRDefault="009C4374" w:rsidP="00E246C2">
      <w:pPr>
        <w:pStyle w:val="IWATableFigureheading"/>
        <w:spacing w:before="40" w:after="40" w:line="276" w:lineRule="auto"/>
        <w:jc w:val="center"/>
        <w:rPr>
          <w:rFonts w:ascii="Times New Roman" w:hAnsi="Times New Roman"/>
          <w:sz w:val="22"/>
          <w:szCs w:val="22"/>
        </w:rPr>
      </w:pPr>
      <w:r w:rsidRPr="00F94CFD">
        <w:rPr>
          <w:rFonts w:ascii="Times New Roman" w:hAnsi="Times New Roman"/>
          <w:b/>
          <w:sz w:val="22"/>
          <w:szCs w:val="22"/>
        </w:rPr>
        <w:t xml:space="preserve">Figure 1.1 </w:t>
      </w:r>
      <w:r>
        <w:rPr>
          <w:rFonts w:ascii="Times New Roman" w:hAnsi="Times New Roman"/>
          <w:sz w:val="22"/>
          <w:szCs w:val="22"/>
        </w:rPr>
        <w:t>TTHM formations in groundwater</w:t>
      </w:r>
    </w:p>
    <w:p w:rsidR="009C4374" w:rsidRDefault="009C4374" w:rsidP="009C4374">
      <w:pPr>
        <w:pStyle w:val="IWATableFigureheading"/>
        <w:spacing w:before="40" w:after="40" w:line="276" w:lineRule="auto"/>
        <w:jc w:val="center"/>
        <w:rPr>
          <w:rFonts w:ascii="Times New Roman" w:hAnsi="Times New Roman"/>
          <w:sz w:val="22"/>
          <w:szCs w:val="22"/>
        </w:rPr>
      </w:pPr>
    </w:p>
    <w:p w:rsidR="009C4374" w:rsidRDefault="009C4374" w:rsidP="00E246C2">
      <w:pPr>
        <w:pStyle w:val="IWATableFigureheading"/>
        <w:spacing w:before="40" w:after="40" w:line="276" w:lineRule="auto"/>
        <w:jc w:val="center"/>
        <w:rPr>
          <w:rFonts w:ascii="Times New Roman" w:hAnsi="Times New Roman"/>
          <w:sz w:val="22"/>
          <w:szCs w:val="22"/>
        </w:rPr>
      </w:pPr>
      <w:r>
        <w:rPr>
          <w:noProof/>
          <w:lang w:eastAsia="ko-KR"/>
        </w:rPr>
        <w:drawing>
          <wp:inline distT="0" distB="0" distL="0" distR="0" wp14:anchorId="6541FC1B" wp14:editId="2F7196E3">
            <wp:extent cx="3236181" cy="1892411"/>
            <wp:effectExtent l="0" t="0" r="2159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C4374" w:rsidRDefault="009C4374" w:rsidP="009C4374">
      <w:pPr>
        <w:pStyle w:val="IWATableFigureheading"/>
        <w:spacing w:before="40" w:after="40" w:line="276" w:lineRule="auto"/>
        <w:jc w:val="center"/>
        <w:rPr>
          <w:rFonts w:ascii="Times New Roman" w:hAnsi="Times New Roman"/>
          <w:sz w:val="22"/>
          <w:szCs w:val="22"/>
        </w:rPr>
      </w:pPr>
      <w:r>
        <w:rPr>
          <w:rFonts w:ascii="Times New Roman" w:hAnsi="Times New Roman"/>
          <w:b/>
          <w:sz w:val="22"/>
          <w:szCs w:val="22"/>
        </w:rPr>
        <w:t>Figure 1.2</w:t>
      </w:r>
      <w:r w:rsidRPr="00F94CFD">
        <w:rPr>
          <w:rFonts w:ascii="Times New Roman" w:hAnsi="Times New Roman"/>
          <w:b/>
          <w:sz w:val="22"/>
          <w:szCs w:val="22"/>
        </w:rPr>
        <w:t xml:space="preserve"> </w:t>
      </w:r>
      <w:r>
        <w:rPr>
          <w:rFonts w:ascii="Times New Roman" w:hAnsi="Times New Roman"/>
          <w:sz w:val="22"/>
          <w:szCs w:val="22"/>
        </w:rPr>
        <w:t>TTHM formations in surface water</w:t>
      </w:r>
    </w:p>
    <w:p w:rsidR="009C4374" w:rsidRPr="00F94CFD" w:rsidRDefault="009C4374" w:rsidP="009C4374">
      <w:pPr>
        <w:pStyle w:val="IWATableFigureheading"/>
        <w:spacing w:before="40" w:after="40" w:line="276" w:lineRule="auto"/>
        <w:jc w:val="center"/>
        <w:rPr>
          <w:rFonts w:ascii="Times New Roman" w:hAnsi="Times New Roman"/>
          <w:b/>
          <w:sz w:val="22"/>
          <w:szCs w:val="22"/>
          <w:lang w:val="vi-VN"/>
        </w:rPr>
      </w:pPr>
    </w:p>
    <w:p w:rsidR="009C4374" w:rsidRPr="00F94CFD" w:rsidRDefault="009C4374" w:rsidP="009C4374">
      <w:pPr>
        <w:pStyle w:val="IWAHeading"/>
        <w:spacing w:before="240" w:line="276" w:lineRule="auto"/>
        <w:ind w:left="418" w:hanging="418"/>
        <w:jc w:val="both"/>
        <w:rPr>
          <w:rFonts w:ascii="Times New Roman" w:hAnsi="Times New Roman" w:cs="Times New Roman"/>
          <w:sz w:val="22"/>
          <w:szCs w:val="22"/>
        </w:rPr>
      </w:pPr>
      <w:r w:rsidRPr="00F94CFD">
        <w:rPr>
          <w:rFonts w:ascii="Times New Roman" w:hAnsi="Times New Roman" w:cs="Times New Roman"/>
          <w:sz w:val="22"/>
          <w:szCs w:val="22"/>
        </w:rPr>
        <w:t>References</w:t>
      </w:r>
    </w:p>
    <w:p w:rsidR="009C4374" w:rsidRPr="00806582" w:rsidRDefault="009C4374" w:rsidP="009F42DE">
      <w:pPr>
        <w:widowControl w:val="0"/>
        <w:autoSpaceDE w:val="0"/>
        <w:autoSpaceDN w:val="0"/>
        <w:adjustRightInd w:val="0"/>
        <w:jc w:val="both"/>
        <w:rPr>
          <w:noProof/>
          <w:sz w:val="20"/>
          <w:szCs w:val="20"/>
        </w:rPr>
      </w:pPr>
      <w:r w:rsidRPr="00806582">
        <w:rPr>
          <w:noProof/>
          <w:sz w:val="20"/>
          <w:szCs w:val="20"/>
        </w:rPr>
        <w:t>Abdullah, M. P., Yew, C. H., &amp; Ramli, M. S. Bin. (2003). Format</w:t>
      </w:r>
      <w:r w:rsidR="00924CD1">
        <w:rPr>
          <w:noProof/>
          <w:sz w:val="20"/>
          <w:szCs w:val="20"/>
        </w:rPr>
        <w:t xml:space="preserve">ion, modeling and validation of </w:t>
      </w:r>
      <w:r w:rsidRPr="00806582">
        <w:rPr>
          <w:noProof/>
          <w:sz w:val="20"/>
          <w:szCs w:val="20"/>
        </w:rPr>
        <w:t xml:space="preserve">trihalomethanes (THM) in Malaysian drinking water: A case study in the districts of Tampin, Negeri Sembilan and Sabak Bernam, Selangor, Malaysia. </w:t>
      </w:r>
      <w:r w:rsidRPr="00806582">
        <w:rPr>
          <w:i/>
          <w:iCs/>
          <w:noProof/>
          <w:sz w:val="20"/>
          <w:szCs w:val="20"/>
        </w:rPr>
        <w:t>Water Research</w:t>
      </w:r>
      <w:r w:rsidRPr="00806582">
        <w:rPr>
          <w:noProof/>
          <w:sz w:val="20"/>
          <w:szCs w:val="20"/>
        </w:rPr>
        <w:t xml:space="preserve">, </w:t>
      </w:r>
      <w:r w:rsidRPr="00806582">
        <w:rPr>
          <w:i/>
          <w:iCs/>
          <w:noProof/>
          <w:sz w:val="20"/>
          <w:szCs w:val="20"/>
        </w:rPr>
        <w:t>37</w:t>
      </w:r>
      <w:r w:rsidRPr="00806582">
        <w:rPr>
          <w:noProof/>
          <w:sz w:val="20"/>
          <w:szCs w:val="20"/>
        </w:rPr>
        <w:t>(19), 4637–4644.</w:t>
      </w:r>
    </w:p>
    <w:p w:rsidR="009C4374" w:rsidRDefault="009C4374" w:rsidP="009F42DE">
      <w:pPr>
        <w:widowControl w:val="0"/>
        <w:autoSpaceDE w:val="0"/>
        <w:autoSpaceDN w:val="0"/>
        <w:adjustRightInd w:val="0"/>
        <w:jc w:val="both"/>
        <w:rPr>
          <w:noProof/>
          <w:sz w:val="20"/>
          <w:szCs w:val="20"/>
        </w:rPr>
      </w:pPr>
      <w:r w:rsidRPr="00806582">
        <w:rPr>
          <w:noProof/>
          <w:sz w:val="20"/>
          <w:szCs w:val="20"/>
        </w:rPr>
        <w:t xml:space="preserve">Al-Otoum, F., Al-Ghouti, M. A., Ahmed, T. A., Abu-Dieyeh, M., &amp; Ali, M. (2016). Disinfection by-products of chlorine dioxide (chlorite, chlorate, and trihalomethanes): Occurrence in drinking water in Qatar. </w:t>
      </w:r>
      <w:r w:rsidRPr="00806582">
        <w:rPr>
          <w:i/>
          <w:iCs/>
          <w:noProof/>
          <w:sz w:val="20"/>
          <w:szCs w:val="20"/>
        </w:rPr>
        <w:t>Chemosphere</w:t>
      </w:r>
      <w:r w:rsidRPr="00806582">
        <w:rPr>
          <w:noProof/>
          <w:sz w:val="20"/>
          <w:szCs w:val="20"/>
        </w:rPr>
        <w:t xml:space="preserve">, </w:t>
      </w:r>
      <w:r w:rsidRPr="00806582">
        <w:rPr>
          <w:i/>
          <w:iCs/>
          <w:noProof/>
          <w:sz w:val="20"/>
          <w:szCs w:val="20"/>
        </w:rPr>
        <w:t>164</w:t>
      </w:r>
      <w:r w:rsidRPr="00806582">
        <w:rPr>
          <w:noProof/>
          <w:sz w:val="20"/>
          <w:szCs w:val="20"/>
        </w:rPr>
        <w:t xml:space="preserve">, 649–656. </w:t>
      </w:r>
    </w:p>
    <w:p w:rsidR="004260ED" w:rsidRPr="00806582" w:rsidRDefault="004260ED" w:rsidP="004260ED">
      <w:pPr>
        <w:widowControl w:val="0"/>
        <w:autoSpaceDE w:val="0"/>
        <w:autoSpaceDN w:val="0"/>
        <w:adjustRightInd w:val="0"/>
        <w:jc w:val="both"/>
        <w:rPr>
          <w:noProof/>
          <w:sz w:val="20"/>
          <w:szCs w:val="20"/>
        </w:rPr>
      </w:pPr>
      <w:r w:rsidRPr="00806582">
        <w:rPr>
          <w:noProof/>
          <w:sz w:val="20"/>
          <w:szCs w:val="20"/>
        </w:rPr>
        <w:t>MOH. (2010). Drinking Water Quality Standard. R</w:t>
      </w:r>
      <w:r>
        <w:rPr>
          <w:noProof/>
          <w:sz w:val="20"/>
          <w:szCs w:val="20"/>
        </w:rPr>
        <w:t xml:space="preserve">etrieved January 20, 2017, from </w:t>
      </w:r>
      <w:r w:rsidRPr="00806582">
        <w:rPr>
          <w:noProof/>
          <w:sz w:val="20"/>
          <w:szCs w:val="20"/>
        </w:rPr>
        <w:t>http://kmam.moh.gov.my/public-user/drinking-water-quality-standard.html</w:t>
      </w:r>
    </w:p>
    <w:p w:rsidR="009C4374" w:rsidRPr="00806582" w:rsidRDefault="009C4374" w:rsidP="009F42DE">
      <w:pPr>
        <w:widowControl w:val="0"/>
        <w:autoSpaceDE w:val="0"/>
        <w:autoSpaceDN w:val="0"/>
        <w:adjustRightInd w:val="0"/>
        <w:jc w:val="both"/>
        <w:rPr>
          <w:noProof/>
          <w:sz w:val="20"/>
          <w:szCs w:val="20"/>
        </w:rPr>
      </w:pPr>
      <w:r w:rsidRPr="00806582">
        <w:rPr>
          <w:noProof/>
          <w:sz w:val="20"/>
          <w:szCs w:val="20"/>
        </w:rPr>
        <w:t xml:space="preserve">Pandit, A. B., &amp; Kumar, J. K. (2013). </w:t>
      </w:r>
      <w:r w:rsidRPr="00806582">
        <w:rPr>
          <w:i/>
          <w:iCs/>
          <w:noProof/>
          <w:sz w:val="20"/>
          <w:szCs w:val="20"/>
        </w:rPr>
        <w:t>Drinking Water Disinfection Techniques</w:t>
      </w:r>
      <w:r w:rsidRPr="00806582">
        <w:rPr>
          <w:noProof/>
          <w:sz w:val="20"/>
          <w:szCs w:val="20"/>
        </w:rPr>
        <w:t>. CRC PressTaylor &amp; Francis Group.</w:t>
      </w:r>
    </w:p>
    <w:p w:rsidR="004260ED" w:rsidRPr="004260ED" w:rsidRDefault="004260ED" w:rsidP="004260ED">
      <w:pPr>
        <w:widowControl w:val="0"/>
        <w:autoSpaceDE w:val="0"/>
        <w:autoSpaceDN w:val="0"/>
        <w:adjustRightInd w:val="0"/>
        <w:jc w:val="both"/>
        <w:rPr>
          <w:noProof/>
          <w:sz w:val="20"/>
          <w:szCs w:val="20"/>
        </w:rPr>
      </w:pPr>
      <w:r w:rsidRPr="004260ED">
        <w:rPr>
          <w:noProof/>
          <w:sz w:val="20"/>
          <w:szCs w:val="20"/>
        </w:rPr>
        <w:t xml:space="preserve">USEPA. (1995). Method 551.1: Determination of chlorination disinfection byproducts, chlorinated solvents , and halogenated pesticides/ herbicides in drinking water by liquid-liquid extraction and gas chromatography with electron-capture detection. </w:t>
      </w:r>
      <w:r w:rsidRPr="004260ED">
        <w:rPr>
          <w:i/>
          <w:iCs/>
          <w:noProof/>
          <w:sz w:val="20"/>
          <w:szCs w:val="20"/>
        </w:rPr>
        <w:t>Environmental Protection</w:t>
      </w:r>
      <w:r w:rsidRPr="004260ED">
        <w:rPr>
          <w:noProof/>
          <w:sz w:val="20"/>
          <w:szCs w:val="20"/>
        </w:rPr>
        <w:t>, 1–61.</w:t>
      </w:r>
    </w:p>
    <w:p w:rsidR="009C4374" w:rsidRPr="00806582" w:rsidRDefault="009C4374" w:rsidP="00924CD1">
      <w:pPr>
        <w:widowControl w:val="0"/>
        <w:autoSpaceDE w:val="0"/>
        <w:autoSpaceDN w:val="0"/>
        <w:adjustRightInd w:val="0"/>
        <w:ind w:hanging="482"/>
        <w:rPr>
          <w:noProof/>
          <w:sz w:val="20"/>
          <w:szCs w:val="20"/>
        </w:rPr>
      </w:pPr>
    </w:p>
    <w:p w:rsidR="009C4374" w:rsidRDefault="009C4374" w:rsidP="009C4374"/>
    <w:p w:rsidR="009C4374" w:rsidRPr="009C4374" w:rsidRDefault="009C4374" w:rsidP="009C4374">
      <w:pPr>
        <w:pStyle w:val="IWANormalParagraph"/>
      </w:pPr>
    </w:p>
    <w:sectPr w:rsidR="009C4374" w:rsidRPr="009C4374" w:rsidSect="00FE63A9">
      <w:headerReference w:type="default" r:id="rId7"/>
      <w:pgSz w:w="11906" w:h="16838" w:code="9"/>
      <w:pgMar w:top="2268" w:right="1418" w:bottom="2268" w:left="1701" w:header="720" w:footer="158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52ˇ">
    <w:panose1 w:val="00000000000000000000"/>
    <w:charset w:val="00"/>
    <w:family w:val="roman"/>
    <w:notTrueType/>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490" w:rsidRPr="009F3A21" w:rsidRDefault="00FE63A9" w:rsidP="00132307">
    <w:pPr>
      <w:ind w:right="-2"/>
      <w:jc w:val="center"/>
      <w:rPr>
        <w:rFonts w:ascii="Calibri Light" w:hAnsi="Calibri Light" w:cs="*'52ˇ"/>
        <w:lang w:val="vi-VN"/>
      </w:rPr>
    </w:pPr>
    <w:r w:rsidRPr="009F3A21">
      <w:rPr>
        <w:rFonts w:ascii="Calibri Light" w:hAnsi="Calibri Light" w:cs="*'52ˇ"/>
      </w:rPr>
      <w:t>AUN-SEED/Net 2017 Regional Conference on Environmental Engineering (RC-EnvE2017)</w:t>
    </w:r>
  </w:p>
  <w:p w:rsidR="009A1490" w:rsidRPr="009F3A21" w:rsidRDefault="00B11319" w:rsidP="008A6C53">
    <w:pPr>
      <w:jc w:val="center"/>
      <w:rPr>
        <w:rFonts w:ascii="Calibri Light" w:hAnsi="Calibri Light" w:cs="*'52ˇ"/>
        <w:b/>
      </w:rPr>
    </w:pPr>
    <w:r>
      <w:rPr>
        <w:noProof/>
        <w:sz w:val="26"/>
        <w:szCs w:val="26"/>
        <w:lang w:eastAsia="ko-KR"/>
      </w:rPr>
      <w:drawing>
        <wp:anchor distT="0" distB="0" distL="114300" distR="114300" simplePos="0" relativeHeight="251661312" behindDoc="0" locked="0" layoutInCell="1" allowOverlap="1" wp14:anchorId="2A3B0E2E" wp14:editId="369BD633">
          <wp:simplePos x="0" y="0"/>
          <wp:positionH relativeFrom="column">
            <wp:posOffset>4057015</wp:posOffset>
          </wp:positionH>
          <wp:positionV relativeFrom="paragraph">
            <wp:posOffset>153035</wp:posOffset>
          </wp:positionV>
          <wp:extent cx="538480" cy="5486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53848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ko-KR"/>
      </w:rPr>
      <w:drawing>
        <wp:anchor distT="0" distB="0" distL="114300" distR="114300" simplePos="0" relativeHeight="251659264" behindDoc="1" locked="0" layoutInCell="1" allowOverlap="1" wp14:anchorId="1375340D" wp14:editId="125AA22E">
          <wp:simplePos x="0" y="0"/>
          <wp:positionH relativeFrom="margin">
            <wp:posOffset>1724025</wp:posOffset>
          </wp:positionH>
          <wp:positionV relativeFrom="paragraph">
            <wp:posOffset>255905</wp:posOffset>
          </wp:positionV>
          <wp:extent cx="2061845" cy="411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FE63A9" w:rsidRPr="009F3A21">
      <w:rPr>
        <w:rFonts w:ascii="Calibri Light" w:hAnsi="Calibri Light" w:cs="*'52ˇ"/>
        <w:b/>
      </w:rPr>
      <w:t xml:space="preserve"> “Environmental Protection toward Green Development”</w:t>
    </w:r>
  </w:p>
  <w:p w:rsidR="00C04323" w:rsidRDefault="00B11319" w:rsidP="0018021E">
    <w:pPr>
      <w:pStyle w:val="Header"/>
      <w:rPr>
        <w:lang w:val="vi-VN"/>
      </w:rPr>
    </w:pPr>
    <w:r>
      <w:rPr>
        <w:noProof/>
        <w:sz w:val="26"/>
        <w:szCs w:val="26"/>
        <w:lang w:eastAsia="ko-KR"/>
      </w:rPr>
      <w:drawing>
        <wp:anchor distT="0" distB="0" distL="114300" distR="114300" simplePos="0" relativeHeight="251660288" behindDoc="0" locked="0" layoutInCell="1" allowOverlap="1" wp14:anchorId="3A0C6ED1" wp14:editId="0A0412EF">
          <wp:simplePos x="0" y="0"/>
          <wp:positionH relativeFrom="column">
            <wp:posOffset>1111250</wp:posOffset>
          </wp:positionH>
          <wp:positionV relativeFrom="paragraph">
            <wp:posOffset>46990</wp:posOffset>
          </wp:positionV>
          <wp:extent cx="386080" cy="448310"/>
          <wp:effectExtent l="0" t="0" r="0" b="8890"/>
          <wp:wrapThrough wrapText="bothSides">
            <wp:wrapPolygon edited="0">
              <wp:start x="1066" y="0"/>
              <wp:lineTo x="1066" y="21110"/>
              <wp:lineTo x="20250" y="21110"/>
              <wp:lineTo x="20250" y="0"/>
              <wp:lineTo x="1066" y="0"/>
            </wp:wrapPolygon>
          </wp:wrapThrough>
          <wp:docPr id="1" name="Picture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3">
                    <a:extLst>
                      <a:ext uri="{28A0092B-C50C-407E-A947-70E740481C1C}">
                        <a14:useLocalDpi xmlns:a14="http://schemas.microsoft.com/office/drawing/2010/main" val="0"/>
                      </a:ext>
                    </a:extLst>
                  </a:blip>
                  <a:srcRect l="-18518" r="-20370"/>
                  <a:stretch>
                    <a:fillRect/>
                  </a:stretch>
                </pic:blipFill>
                <pic:spPr bwMode="auto">
                  <a:xfrm>
                    <a:off x="0" y="0"/>
                    <a:ext cx="386080" cy="44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323" w:rsidRDefault="00FE63A9" w:rsidP="0018021E">
    <w:pPr>
      <w:pStyle w:val="Header"/>
      <w:rPr>
        <w:lang w:val="vi-VN"/>
      </w:rPr>
    </w:pPr>
  </w:p>
  <w:p w:rsidR="009A1490" w:rsidRPr="00303722" w:rsidRDefault="00FE63A9" w:rsidP="0018021E">
    <w:pPr>
      <w:pStyle w:val="Header"/>
      <w:rPr>
        <w:lang w:val="vi-VN"/>
      </w:rPr>
    </w:pPr>
    <w:r>
      <w:rPr>
        <w:lang w:val="vi-VN"/>
      </w:rPr>
      <w:t>_______________</w:t>
    </w:r>
    <w:r>
      <w:rPr>
        <w:lang w:val="vi-VN"/>
      </w:rPr>
      <w:t>___________________</w:t>
    </w:r>
    <w:r>
      <w:rPr>
        <w:lang w:val="vi-VN"/>
      </w:rPr>
      <w:t>_______________________</w:t>
    </w:r>
    <w:r>
      <w:rPr>
        <w:lang w:val="vi-VN"/>
      </w:rPr>
      <w:t>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319"/>
    <w:rsid w:val="0004445E"/>
    <w:rsid w:val="001557AB"/>
    <w:rsid w:val="0021088A"/>
    <w:rsid w:val="002523CE"/>
    <w:rsid w:val="00285A0F"/>
    <w:rsid w:val="00290030"/>
    <w:rsid w:val="00330CF9"/>
    <w:rsid w:val="003601A6"/>
    <w:rsid w:val="003E51F0"/>
    <w:rsid w:val="00425AB3"/>
    <w:rsid w:val="004260ED"/>
    <w:rsid w:val="00477BAE"/>
    <w:rsid w:val="004E718D"/>
    <w:rsid w:val="00524295"/>
    <w:rsid w:val="00620019"/>
    <w:rsid w:val="00651DCD"/>
    <w:rsid w:val="006A192A"/>
    <w:rsid w:val="006C0E77"/>
    <w:rsid w:val="007372C8"/>
    <w:rsid w:val="00754F86"/>
    <w:rsid w:val="007554F2"/>
    <w:rsid w:val="00777009"/>
    <w:rsid w:val="00806582"/>
    <w:rsid w:val="00847618"/>
    <w:rsid w:val="008653C3"/>
    <w:rsid w:val="00910728"/>
    <w:rsid w:val="00912BAA"/>
    <w:rsid w:val="00924CD1"/>
    <w:rsid w:val="0098276A"/>
    <w:rsid w:val="009C4374"/>
    <w:rsid w:val="009F42DE"/>
    <w:rsid w:val="00B11319"/>
    <w:rsid w:val="00B86254"/>
    <w:rsid w:val="00B96FF6"/>
    <w:rsid w:val="00BB0763"/>
    <w:rsid w:val="00CD0D02"/>
    <w:rsid w:val="00D446B4"/>
    <w:rsid w:val="00E246C2"/>
    <w:rsid w:val="00E31822"/>
    <w:rsid w:val="00E85755"/>
    <w:rsid w:val="00ED527F"/>
    <w:rsid w:val="00F10FE8"/>
    <w:rsid w:val="00F63111"/>
    <w:rsid w:val="00F66799"/>
    <w:rsid w:val="00F8251E"/>
    <w:rsid w:val="00FE63A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319"/>
    <w:pPr>
      <w:spacing w:after="0" w:line="240" w:lineRule="auto"/>
    </w:pPr>
    <w:rPr>
      <w:rFonts w:ascii="Times New Roman" w:eastAsia="MS Mincho" w:hAnsi="Times New Roman" w:cs="Times New Roman"/>
      <w:sz w:val="24"/>
      <w:szCs w:val="24"/>
      <w:lang w:eastAsia="de-DE"/>
    </w:rPr>
  </w:style>
  <w:style w:type="paragraph" w:styleId="Heading1">
    <w:name w:val="heading 1"/>
    <w:basedOn w:val="Normal"/>
    <w:next w:val="Normal"/>
    <w:link w:val="Heading1Char"/>
    <w:uiPriority w:val="9"/>
    <w:qFormat/>
    <w:rsid w:val="00B113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WAAuthoraddress">
    <w:name w:val="(IWA) Author address"/>
    <w:basedOn w:val="Normal"/>
    <w:next w:val="IWAKeyword"/>
    <w:rsid w:val="00B11319"/>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B11319"/>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B11319"/>
    <w:rPr>
      <w:rFonts w:ascii="Arial" w:eastAsia="MS Mincho" w:hAnsi="Arial" w:cs="Arial"/>
      <w:sz w:val="18"/>
      <w:szCs w:val="18"/>
      <w:lang w:eastAsia="en-US"/>
    </w:rPr>
  </w:style>
  <w:style w:type="paragraph" w:customStyle="1" w:styleId="IWAAuthornames">
    <w:name w:val="(IWA) Author name(s)"/>
    <w:basedOn w:val="Normal"/>
    <w:next w:val="IWAKeyword"/>
    <w:rsid w:val="00B11319"/>
    <w:pPr>
      <w:suppressLineNumbers/>
      <w:suppressAutoHyphens/>
      <w:overflowPunct w:val="0"/>
      <w:autoSpaceDE w:val="0"/>
      <w:autoSpaceDN w:val="0"/>
      <w:adjustRightInd w:val="0"/>
      <w:spacing w:before="360" w:after="240" w:line="240" w:lineRule="atLeast"/>
      <w:textAlignment w:val="baseline"/>
    </w:pPr>
    <w:rPr>
      <w:rFonts w:ascii="Arial" w:hAnsi="Arial" w:cs="Arial"/>
      <w:b/>
      <w:sz w:val="20"/>
      <w:szCs w:val="20"/>
      <w:lang w:eastAsia="en-US"/>
    </w:rPr>
  </w:style>
  <w:style w:type="paragraph" w:customStyle="1" w:styleId="IWAFigure">
    <w:name w:val="(IWA) Figure"/>
    <w:basedOn w:val="Normal"/>
    <w:rsid w:val="00B11319"/>
    <w:pPr>
      <w:spacing w:before="240" w:after="120"/>
      <w:jc w:val="center"/>
    </w:pPr>
    <w:rPr>
      <w:rFonts w:ascii="Arial" w:hAnsi="Arial"/>
      <w:sz w:val="22"/>
      <w:lang w:eastAsia="en-US"/>
    </w:rPr>
  </w:style>
  <w:style w:type="paragraph" w:customStyle="1" w:styleId="IWAFirstparagraph">
    <w:name w:val="(IWA) First paragraph"/>
    <w:basedOn w:val="Normal"/>
    <w:next w:val="IWANormalParagraph"/>
    <w:rsid w:val="00B11319"/>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B11319"/>
    <w:pPr>
      <w:spacing w:after="120"/>
      <w:ind w:firstLine="210"/>
      <w:jc w:val="both"/>
    </w:pPr>
    <w:rPr>
      <w:rFonts w:ascii="Arial" w:hAnsi="Arial" w:cs="Arial"/>
      <w:sz w:val="22"/>
      <w:szCs w:val="22"/>
      <w:lang w:eastAsia="en-US"/>
    </w:rPr>
  </w:style>
  <w:style w:type="paragraph" w:customStyle="1" w:styleId="IWAPaperTitle">
    <w:name w:val="(IWA) Paper Title"/>
    <w:basedOn w:val="Normal"/>
    <w:next w:val="IWAAuthornames"/>
    <w:rsid w:val="00B11319"/>
    <w:rPr>
      <w:rFonts w:ascii="Arial" w:hAnsi="Arial" w:cs="Arial"/>
      <w:b/>
      <w:bCs/>
      <w:sz w:val="28"/>
      <w:szCs w:val="28"/>
      <w:lang w:eastAsia="en-US"/>
    </w:rPr>
  </w:style>
  <w:style w:type="paragraph" w:customStyle="1" w:styleId="IWAReferences">
    <w:name w:val="(IWA) References"/>
    <w:basedOn w:val="Normal"/>
    <w:rsid w:val="00B11319"/>
    <w:pPr>
      <w:suppressLineNumbers/>
      <w:overflowPunct w:val="0"/>
      <w:autoSpaceDE w:val="0"/>
      <w:autoSpaceDN w:val="0"/>
      <w:adjustRightInd w:val="0"/>
      <w:spacing w:before="60" w:after="60" w:line="200" w:lineRule="exact"/>
      <w:ind w:left="357" w:hanging="357"/>
      <w:jc w:val="both"/>
      <w:textAlignment w:val="baseline"/>
    </w:pPr>
    <w:rPr>
      <w:rFonts w:ascii="Arial" w:hAnsi="Arial" w:cs="Arial"/>
      <w:sz w:val="18"/>
      <w:szCs w:val="18"/>
      <w:lang w:eastAsia="en-US"/>
    </w:rPr>
  </w:style>
  <w:style w:type="paragraph" w:customStyle="1" w:styleId="IWAHeading">
    <w:name w:val="(IWA) Heading"/>
    <w:basedOn w:val="Heading1"/>
    <w:next w:val="IWAFirstparagraph"/>
    <w:rsid w:val="00B11319"/>
    <w:pPr>
      <w:keepLines w:val="0"/>
      <w:suppressLineNumbers/>
      <w:tabs>
        <w:tab w:val="left" w:pos="414"/>
      </w:tabs>
      <w:overflowPunct w:val="0"/>
      <w:autoSpaceDE w:val="0"/>
      <w:autoSpaceDN w:val="0"/>
      <w:adjustRightInd w:val="0"/>
      <w:spacing w:before="320" w:after="120" w:line="320" w:lineRule="atLeast"/>
      <w:ind w:left="420" w:hanging="420"/>
      <w:textAlignment w:val="baseline"/>
    </w:pPr>
    <w:rPr>
      <w:rFonts w:ascii="Arial" w:eastAsia="MS Mincho" w:hAnsi="Arial" w:cs="Arial"/>
      <w:color w:val="auto"/>
      <w:kern w:val="28"/>
      <w:sz w:val="24"/>
      <w:szCs w:val="24"/>
      <w:lang w:eastAsia="en-US"/>
    </w:rPr>
  </w:style>
  <w:style w:type="paragraph" w:customStyle="1" w:styleId="IWATableFigureheading">
    <w:name w:val="(IWA) Table/Figure heading"/>
    <w:basedOn w:val="Normal"/>
    <w:link w:val="IWATableFigureheadingZchn"/>
    <w:rsid w:val="00B11319"/>
    <w:pPr>
      <w:keepNext/>
      <w:keepLines/>
      <w:widowControl w:val="0"/>
      <w:suppressLineNumbers/>
      <w:overflowPunct w:val="0"/>
      <w:autoSpaceDE w:val="0"/>
      <w:autoSpaceDN w:val="0"/>
      <w:adjustRightInd w:val="0"/>
      <w:spacing w:before="240" w:after="120" w:line="200" w:lineRule="exact"/>
      <w:jc w:val="both"/>
      <w:textAlignment w:val="baseline"/>
    </w:pPr>
    <w:rPr>
      <w:rFonts w:ascii="Arial" w:hAnsi="Arial"/>
      <w:bCs/>
      <w:sz w:val="18"/>
      <w:szCs w:val="20"/>
      <w:lang w:eastAsia="en-US"/>
    </w:rPr>
  </w:style>
  <w:style w:type="character" w:customStyle="1" w:styleId="IWATableFigureheadingZchn">
    <w:name w:val="(IWA) Table/Figure heading Zchn"/>
    <w:link w:val="IWATableFigureheading"/>
    <w:rsid w:val="00B11319"/>
    <w:rPr>
      <w:rFonts w:ascii="Arial" w:eastAsia="MS Mincho" w:hAnsi="Arial" w:cs="Times New Roman"/>
      <w:bCs/>
      <w:sz w:val="18"/>
      <w:szCs w:val="20"/>
      <w:lang w:eastAsia="en-US"/>
    </w:rPr>
  </w:style>
  <w:style w:type="paragraph" w:styleId="Header">
    <w:name w:val="header"/>
    <w:basedOn w:val="Normal"/>
    <w:link w:val="HeaderChar"/>
    <w:rsid w:val="00B11319"/>
    <w:pPr>
      <w:tabs>
        <w:tab w:val="center" w:pos="4703"/>
        <w:tab w:val="right" w:pos="9406"/>
      </w:tabs>
    </w:pPr>
  </w:style>
  <w:style w:type="character" w:customStyle="1" w:styleId="HeaderChar">
    <w:name w:val="Header Char"/>
    <w:basedOn w:val="DefaultParagraphFont"/>
    <w:link w:val="Header"/>
    <w:rsid w:val="00B11319"/>
    <w:rPr>
      <w:rFonts w:ascii="Times New Roman" w:eastAsia="MS Mincho" w:hAnsi="Times New Roman" w:cs="Times New Roman"/>
      <w:sz w:val="24"/>
      <w:szCs w:val="24"/>
      <w:lang w:eastAsia="de-DE"/>
    </w:rPr>
  </w:style>
  <w:style w:type="character" w:customStyle="1" w:styleId="Heading1Char">
    <w:name w:val="Heading 1 Char"/>
    <w:basedOn w:val="DefaultParagraphFont"/>
    <w:link w:val="Heading1"/>
    <w:uiPriority w:val="9"/>
    <w:rsid w:val="00B11319"/>
    <w:rPr>
      <w:rFonts w:asciiTheme="majorHAnsi" w:eastAsiaTheme="majorEastAsia" w:hAnsiTheme="majorHAnsi" w:cstheme="majorBidi"/>
      <w:b/>
      <w:bCs/>
      <w:color w:val="365F91" w:themeColor="accent1" w:themeShade="BF"/>
      <w:sz w:val="28"/>
      <w:szCs w:val="28"/>
      <w:lang w:eastAsia="de-DE"/>
    </w:rPr>
  </w:style>
  <w:style w:type="table" w:styleId="TableGrid">
    <w:name w:val="Table Grid"/>
    <w:basedOn w:val="TableNormal"/>
    <w:uiPriority w:val="39"/>
    <w:rsid w:val="00806582"/>
    <w:pPr>
      <w:spacing w:after="0" w:line="240" w:lineRule="auto"/>
    </w:pPr>
    <w:rPr>
      <w:rFonts w:eastAsiaTheme="minorHAnsi"/>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23CE"/>
    <w:rPr>
      <w:rFonts w:ascii="Tahoma" w:hAnsi="Tahoma" w:cs="Tahoma"/>
      <w:sz w:val="16"/>
      <w:szCs w:val="16"/>
    </w:rPr>
  </w:style>
  <w:style w:type="character" w:customStyle="1" w:styleId="BalloonTextChar">
    <w:name w:val="Balloon Text Char"/>
    <w:basedOn w:val="DefaultParagraphFont"/>
    <w:link w:val="BalloonText"/>
    <w:uiPriority w:val="99"/>
    <w:semiHidden/>
    <w:rsid w:val="002523CE"/>
    <w:rPr>
      <w:rFonts w:ascii="Tahoma" w:eastAsia="MS Mincho"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319"/>
    <w:pPr>
      <w:spacing w:after="0" w:line="240" w:lineRule="auto"/>
    </w:pPr>
    <w:rPr>
      <w:rFonts w:ascii="Times New Roman" w:eastAsia="MS Mincho" w:hAnsi="Times New Roman" w:cs="Times New Roman"/>
      <w:sz w:val="24"/>
      <w:szCs w:val="24"/>
      <w:lang w:eastAsia="de-DE"/>
    </w:rPr>
  </w:style>
  <w:style w:type="paragraph" w:styleId="Heading1">
    <w:name w:val="heading 1"/>
    <w:basedOn w:val="Normal"/>
    <w:next w:val="Normal"/>
    <w:link w:val="Heading1Char"/>
    <w:uiPriority w:val="9"/>
    <w:qFormat/>
    <w:rsid w:val="00B113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WAAuthoraddress">
    <w:name w:val="(IWA) Author address"/>
    <w:basedOn w:val="Normal"/>
    <w:next w:val="IWAKeyword"/>
    <w:rsid w:val="00B11319"/>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B11319"/>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B11319"/>
    <w:rPr>
      <w:rFonts w:ascii="Arial" w:eastAsia="MS Mincho" w:hAnsi="Arial" w:cs="Arial"/>
      <w:sz w:val="18"/>
      <w:szCs w:val="18"/>
      <w:lang w:eastAsia="en-US"/>
    </w:rPr>
  </w:style>
  <w:style w:type="paragraph" w:customStyle="1" w:styleId="IWAAuthornames">
    <w:name w:val="(IWA) Author name(s)"/>
    <w:basedOn w:val="Normal"/>
    <w:next w:val="IWAKeyword"/>
    <w:rsid w:val="00B11319"/>
    <w:pPr>
      <w:suppressLineNumbers/>
      <w:suppressAutoHyphens/>
      <w:overflowPunct w:val="0"/>
      <w:autoSpaceDE w:val="0"/>
      <w:autoSpaceDN w:val="0"/>
      <w:adjustRightInd w:val="0"/>
      <w:spacing w:before="360" w:after="240" w:line="240" w:lineRule="atLeast"/>
      <w:textAlignment w:val="baseline"/>
    </w:pPr>
    <w:rPr>
      <w:rFonts w:ascii="Arial" w:hAnsi="Arial" w:cs="Arial"/>
      <w:b/>
      <w:sz w:val="20"/>
      <w:szCs w:val="20"/>
      <w:lang w:eastAsia="en-US"/>
    </w:rPr>
  </w:style>
  <w:style w:type="paragraph" w:customStyle="1" w:styleId="IWAFigure">
    <w:name w:val="(IWA) Figure"/>
    <w:basedOn w:val="Normal"/>
    <w:rsid w:val="00B11319"/>
    <w:pPr>
      <w:spacing w:before="240" w:after="120"/>
      <w:jc w:val="center"/>
    </w:pPr>
    <w:rPr>
      <w:rFonts w:ascii="Arial" w:hAnsi="Arial"/>
      <w:sz w:val="22"/>
      <w:lang w:eastAsia="en-US"/>
    </w:rPr>
  </w:style>
  <w:style w:type="paragraph" w:customStyle="1" w:styleId="IWAFirstparagraph">
    <w:name w:val="(IWA) First paragraph"/>
    <w:basedOn w:val="Normal"/>
    <w:next w:val="IWANormalParagraph"/>
    <w:rsid w:val="00B11319"/>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B11319"/>
    <w:pPr>
      <w:spacing w:after="120"/>
      <w:ind w:firstLine="210"/>
      <w:jc w:val="both"/>
    </w:pPr>
    <w:rPr>
      <w:rFonts w:ascii="Arial" w:hAnsi="Arial" w:cs="Arial"/>
      <w:sz w:val="22"/>
      <w:szCs w:val="22"/>
      <w:lang w:eastAsia="en-US"/>
    </w:rPr>
  </w:style>
  <w:style w:type="paragraph" w:customStyle="1" w:styleId="IWAPaperTitle">
    <w:name w:val="(IWA) Paper Title"/>
    <w:basedOn w:val="Normal"/>
    <w:next w:val="IWAAuthornames"/>
    <w:rsid w:val="00B11319"/>
    <w:rPr>
      <w:rFonts w:ascii="Arial" w:hAnsi="Arial" w:cs="Arial"/>
      <w:b/>
      <w:bCs/>
      <w:sz w:val="28"/>
      <w:szCs w:val="28"/>
      <w:lang w:eastAsia="en-US"/>
    </w:rPr>
  </w:style>
  <w:style w:type="paragraph" w:customStyle="1" w:styleId="IWAReferences">
    <w:name w:val="(IWA) References"/>
    <w:basedOn w:val="Normal"/>
    <w:rsid w:val="00B11319"/>
    <w:pPr>
      <w:suppressLineNumbers/>
      <w:overflowPunct w:val="0"/>
      <w:autoSpaceDE w:val="0"/>
      <w:autoSpaceDN w:val="0"/>
      <w:adjustRightInd w:val="0"/>
      <w:spacing w:before="60" w:after="60" w:line="200" w:lineRule="exact"/>
      <w:ind w:left="357" w:hanging="357"/>
      <w:jc w:val="both"/>
      <w:textAlignment w:val="baseline"/>
    </w:pPr>
    <w:rPr>
      <w:rFonts w:ascii="Arial" w:hAnsi="Arial" w:cs="Arial"/>
      <w:sz w:val="18"/>
      <w:szCs w:val="18"/>
      <w:lang w:eastAsia="en-US"/>
    </w:rPr>
  </w:style>
  <w:style w:type="paragraph" w:customStyle="1" w:styleId="IWAHeading">
    <w:name w:val="(IWA) Heading"/>
    <w:basedOn w:val="Heading1"/>
    <w:next w:val="IWAFirstparagraph"/>
    <w:rsid w:val="00B11319"/>
    <w:pPr>
      <w:keepLines w:val="0"/>
      <w:suppressLineNumbers/>
      <w:tabs>
        <w:tab w:val="left" w:pos="414"/>
      </w:tabs>
      <w:overflowPunct w:val="0"/>
      <w:autoSpaceDE w:val="0"/>
      <w:autoSpaceDN w:val="0"/>
      <w:adjustRightInd w:val="0"/>
      <w:spacing w:before="320" w:after="120" w:line="320" w:lineRule="atLeast"/>
      <w:ind w:left="420" w:hanging="420"/>
      <w:textAlignment w:val="baseline"/>
    </w:pPr>
    <w:rPr>
      <w:rFonts w:ascii="Arial" w:eastAsia="MS Mincho" w:hAnsi="Arial" w:cs="Arial"/>
      <w:color w:val="auto"/>
      <w:kern w:val="28"/>
      <w:sz w:val="24"/>
      <w:szCs w:val="24"/>
      <w:lang w:eastAsia="en-US"/>
    </w:rPr>
  </w:style>
  <w:style w:type="paragraph" w:customStyle="1" w:styleId="IWATableFigureheading">
    <w:name w:val="(IWA) Table/Figure heading"/>
    <w:basedOn w:val="Normal"/>
    <w:link w:val="IWATableFigureheadingZchn"/>
    <w:rsid w:val="00B11319"/>
    <w:pPr>
      <w:keepNext/>
      <w:keepLines/>
      <w:widowControl w:val="0"/>
      <w:suppressLineNumbers/>
      <w:overflowPunct w:val="0"/>
      <w:autoSpaceDE w:val="0"/>
      <w:autoSpaceDN w:val="0"/>
      <w:adjustRightInd w:val="0"/>
      <w:spacing w:before="240" w:after="120" w:line="200" w:lineRule="exact"/>
      <w:jc w:val="both"/>
      <w:textAlignment w:val="baseline"/>
    </w:pPr>
    <w:rPr>
      <w:rFonts w:ascii="Arial" w:hAnsi="Arial"/>
      <w:bCs/>
      <w:sz w:val="18"/>
      <w:szCs w:val="20"/>
      <w:lang w:eastAsia="en-US"/>
    </w:rPr>
  </w:style>
  <w:style w:type="character" w:customStyle="1" w:styleId="IWATableFigureheadingZchn">
    <w:name w:val="(IWA) Table/Figure heading Zchn"/>
    <w:link w:val="IWATableFigureheading"/>
    <w:rsid w:val="00B11319"/>
    <w:rPr>
      <w:rFonts w:ascii="Arial" w:eastAsia="MS Mincho" w:hAnsi="Arial" w:cs="Times New Roman"/>
      <w:bCs/>
      <w:sz w:val="18"/>
      <w:szCs w:val="20"/>
      <w:lang w:eastAsia="en-US"/>
    </w:rPr>
  </w:style>
  <w:style w:type="paragraph" w:styleId="Header">
    <w:name w:val="header"/>
    <w:basedOn w:val="Normal"/>
    <w:link w:val="HeaderChar"/>
    <w:rsid w:val="00B11319"/>
    <w:pPr>
      <w:tabs>
        <w:tab w:val="center" w:pos="4703"/>
        <w:tab w:val="right" w:pos="9406"/>
      </w:tabs>
    </w:pPr>
  </w:style>
  <w:style w:type="character" w:customStyle="1" w:styleId="HeaderChar">
    <w:name w:val="Header Char"/>
    <w:basedOn w:val="DefaultParagraphFont"/>
    <w:link w:val="Header"/>
    <w:rsid w:val="00B11319"/>
    <w:rPr>
      <w:rFonts w:ascii="Times New Roman" w:eastAsia="MS Mincho" w:hAnsi="Times New Roman" w:cs="Times New Roman"/>
      <w:sz w:val="24"/>
      <w:szCs w:val="24"/>
      <w:lang w:eastAsia="de-DE"/>
    </w:rPr>
  </w:style>
  <w:style w:type="character" w:customStyle="1" w:styleId="Heading1Char">
    <w:name w:val="Heading 1 Char"/>
    <w:basedOn w:val="DefaultParagraphFont"/>
    <w:link w:val="Heading1"/>
    <w:uiPriority w:val="9"/>
    <w:rsid w:val="00B11319"/>
    <w:rPr>
      <w:rFonts w:asciiTheme="majorHAnsi" w:eastAsiaTheme="majorEastAsia" w:hAnsiTheme="majorHAnsi" w:cstheme="majorBidi"/>
      <w:b/>
      <w:bCs/>
      <w:color w:val="365F91" w:themeColor="accent1" w:themeShade="BF"/>
      <w:sz w:val="28"/>
      <w:szCs w:val="28"/>
      <w:lang w:eastAsia="de-DE"/>
    </w:rPr>
  </w:style>
  <w:style w:type="table" w:styleId="TableGrid">
    <w:name w:val="Table Grid"/>
    <w:basedOn w:val="TableNormal"/>
    <w:uiPriority w:val="39"/>
    <w:rsid w:val="00806582"/>
    <w:pPr>
      <w:spacing w:after="0" w:line="240" w:lineRule="auto"/>
    </w:pPr>
    <w:rPr>
      <w:rFonts w:eastAsiaTheme="minorHAnsi"/>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23CE"/>
    <w:rPr>
      <w:rFonts w:ascii="Tahoma" w:hAnsi="Tahoma" w:cs="Tahoma"/>
      <w:sz w:val="16"/>
      <w:szCs w:val="16"/>
    </w:rPr>
  </w:style>
  <w:style w:type="character" w:customStyle="1" w:styleId="BalloonTextChar">
    <w:name w:val="Balloon Text Char"/>
    <w:basedOn w:val="DefaultParagraphFont"/>
    <w:link w:val="BalloonText"/>
    <w:uiPriority w:val="99"/>
    <w:semiHidden/>
    <w:rsid w:val="002523CE"/>
    <w:rPr>
      <w:rFonts w:ascii="Tahoma" w:eastAsia="MS Mincho"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ropbox\USM\SKT%202017\C.%20Supervision\FYP%20Fatin%20Hanani\OBJECTIVE%20%201%20&amp;%202%20&amp;%20%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ropbox\USM\SKT%202017\C.%20Supervision\FYP%20Fatin%20Hanani\OBJECTIVE%20%201%20&amp;%202%20&amp;%20%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'[OBJECTIVE  1 &amp; 2 &amp;  DATA.xlsx]OBJEKTIF 1'!$B$3</c:f>
              <c:strCache>
                <c:ptCount val="1"/>
                <c:pt idx="0">
                  <c:v>1 Hour</c:v>
                </c:pt>
              </c:strCache>
            </c:strRef>
          </c:tx>
          <c:spPr>
            <a:pattFill prst="ltUpDiag">
              <a:fgClr>
                <a:schemeClr val="tx1"/>
              </a:fgClr>
              <a:bgClr>
                <a:schemeClr val="bg1"/>
              </a:bgClr>
            </a:pattFill>
            <a:ln>
              <a:solidFill>
                <a:schemeClr val="tx1"/>
              </a:solidFill>
            </a:ln>
            <a:effectLst/>
          </c:spPr>
          <c:invertIfNegative val="0"/>
          <c:cat>
            <c:strRef>
              <c:f>'[OBJECTIVE  1 &amp; 2 &amp;  DATA.xlsx]OBJEKTIF 1'!$A$4:$A$10</c:f>
              <c:strCache>
                <c:ptCount val="7"/>
                <c:pt idx="0">
                  <c:v>pH6  (Cl₂)</c:v>
                </c:pt>
                <c:pt idx="1">
                  <c:v>pH7  (Cl₂)</c:v>
                </c:pt>
                <c:pt idx="2">
                  <c:v>pH8  (Cl₂)</c:v>
                </c:pt>
                <c:pt idx="4">
                  <c:v>pH6 (ClO₂)</c:v>
                </c:pt>
                <c:pt idx="5">
                  <c:v>pH7 (ClO₂)</c:v>
                </c:pt>
                <c:pt idx="6">
                  <c:v>pH8 (ClO₂)</c:v>
                </c:pt>
              </c:strCache>
            </c:strRef>
          </c:cat>
          <c:val>
            <c:numRef>
              <c:f>'[OBJECTIVE  1 &amp; 2 &amp;  DATA.xlsx]OBJEKTIF 1'!$B$4:$B$10</c:f>
              <c:numCache>
                <c:formatCode>0.0</c:formatCode>
                <c:ptCount val="7"/>
                <c:pt idx="0">
                  <c:v>23.188163200900931</c:v>
                </c:pt>
                <c:pt idx="1">
                  <c:v>38.683476951051077</c:v>
                </c:pt>
                <c:pt idx="2">
                  <c:v>25.941049645686185</c:v>
                </c:pt>
                <c:pt idx="4">
                  <c:v>15.332735780828212</c:v>
                </c:pt>
                <c:pt idx="5">
                  <c:v>17.700448169657701</c:v>
                </c:pt>
                <c:pt idx="6">
                  <c:v>34.043408412224629</c:v>
                </c:pt>
              </c:numCache>
            </c:numRef>
          </c:val>
        </c:ser>
        <c:ser>
          <c:idx val="1"/>
          <c:order val="1"/>
          <c:tx>
            <c:strRef>
              <c:f>'[OBJECTIVE  1 &amp; 2 &amp;  DATA.xlsx]OBJEKTIF 1'!$C$3</c:f>
              <c:strCache>
                <c:ptCount val="1"/>
                <c:pt idx="0">
                  <c:v>3 Hour</c:v>
                </c:pt>
              </c:strCache>
            </c:strRef>
          </c:tx>
          <c:spPr>
            <a:pattFill prst="pct10">
              <a:fgClr>
                <a:schemeClr val="tx1"/>
              </a:fgClr>
              <a:bgClr>
                <a:schemeClr val="bg1"/>
              </a:bgClr>
            </a:pattFill>
            <a:ln>
              <a:solidFill>
                <a:schemeClr val="tx1"/>
              </a:solidFill>
            </a:ln>
            <a:effectLst/>
          </c:spPr>
          <c:invertIfNegative val="0"/>
          <c:cat>
            <c:strRef>
              <c:f>'[OBJECTIVE  1 &amp; 2 &amp;  DATA.xlsx]OBJEKTIF 1'!$A$4:$A$10</c:f>
              <c:strCache>
                <c:ptCount val="7"/>
                <c:pt idx="0">
                  <c:v>pH6  (Cl₂)</c:v>
                </c:pt>
                <c:pt idx="1">
                  <c:v>pH7  (Cl₂)</c:v>
                </c:pt>
                <c:pt idx="2">
                  <c:v>pH8  (Cl₂)</c:v>
                </c:pt>
                <c:pt idx="4">
                  <c:v>pH6 (ClO₂)</c:v>
                </c:pt>
                <c:pt idx="5">
                  <c:v>pH7 (ClO₂)</c:v>
                </c:pt>
                <c:pt idx="6">
                  <c:v>pH8 (ClO₂)</c:v>
                </c:pt>
              </c:strCache>
            </c:strRef>
          </c:cat>
          <c:val>
            <c:numRef>
              <c:f>'[OBJECTIVE  1 &amp; 2 &amp;  DATA.xlsx]OBJEKTIF 1'!$C$4:$C$10</c:f>
              <c:numCache>
                <c:formatCode>0.0</c:formatCode>
                <c:ptCount val="7"/>
                <c:pt idx="0">
                  <c:v>24.818989252446492</c:v>
                </c:pt>
                <c:pt idx="1">
                  <c:v>7.6597986191029461</c:v>
                </c:pt>
                <c:pt idx="2">
                  <c:v>27.3899255023207</c:v>
                </c:pt>
                <c:pt idx="4">
                  <c:v>17.097479709467702</c:v>
                </c:pt>
                <c:pt idx="5">
                  <c:v>5.3667080901451465</c:v>
                </c:pt>
                <c:pt idx="6">
                  <c:v>31.586600788416362</c:v>
                </c:pt>
              </c:numCache>
            </c:numRef>
          </c:val>
        </c:ser>
        <c:ser>
          <c:idx val="2"/>
          <c:order val="2"/>
          <c:tx>
            <c:strRef>
              <c:f>'[OBJECTIVE  1 &amp; 2 &amp;  DATA.xlsx]OBJEKTIF 1'!$D$3</c:f>
              <c:strCache>
                <c:ptCount val="1"/>
                <c:pt idx="0">
                  <c:v>6 Hour</c:v>
                </c:pt>
              </c:strCache>
            </c:strRef>
          </c:tx>
          <c:spPr>
            <a:pattFill prst="wdDnDiag">
              <a:fgClr>
                <a:schemeClr val="tx1"/>
              </a:fgClr>
              <a:bgClr>
                <a:schemeClr val="bg1"/>
              </a:bgClr>
            </a:pattFill>
            <a:ln>
              <a:solidFill>
                <a:schemeClr val="tx1"/>
              </a:solidFill>
            </a:ln>
            <a:effectLst/>
          </c:spPr>
          <c:invertIfNegative val="0"/>
          <c:cat>
            <c:strRef>
              <c:f>'[OBJECTIVE  1 &amp; 2 &amp;  DATA.xlsx]OBJEKTIF 1'!$A$4:$A$10</c:f>
              <c:strCache>
                <c:ptCount val="7"/>
                <c:pt idx="0">
                  <c:v>pH6  (Cl₂)</c:v>
                </c:pt>
                <c:pt idx="1">
                  <c:v>pH7  (Cl₂)</c:v>
                </c:pt>
                <c:pt idx="2">
                  <c:v>pH8  (Cl₂)</c:v>
                </c:pt>
                <c:pt idx="4">
                  <c:v>pH6 (ClO₂)</c:v>
                </c:pt>
                <c:pt idx="5">
                  <c:v>pH7 (ClO₂)</c:v>
                </c:pt>
                <c:pt idx="6">
                  <c:v>pH8 (ClO₂)</c:v>
                </c:pt>
              </c:strCache>
            </c:strRef>
          </c:cat>
          <c:val>
            <c:numRef>
              <c:f>'[OBJECTIVE  1 &amp; 2 &amp;  DATA.xlsx]OBJEKTIF 1'!$D$4:$D$10</c:f>
              <c:numCache>
                <c:formatCode>0.0</c:formatCode>
                <c:ptCount val="7"/>
                <c:pt idx="0">
                  <c:v>27.679030303030302</c:v>
                </c:pt>
                <c:pt idx="1">
                  <c:v>29.258466381998783</c:v>
                </c:pt>
                <c:pt idx="2">
                  <c:v>11.332181808171214</c:v>
                </c:pt>
                <c:pt idx="4">
                  <c:v>18.567156532373083</c:v>
                </c:pt>
                <c:pt idx="5">
                  <c:v>19.209448156960473</c:v>
                </c:pt>
                <c:pt idx="6">
                  <c:v>13.8</c:v>
                </c:pt>
              </c:numCache>
            </c:numRef>
          </c:val>
        </c:ser>
        <c:ser>
          <c:idx val="3"/>
          <c:order val="3"/>
          <c:tx>
            <c:strRef>
              <c:f>'[OBJECTIVE  1 &amp; 2 &amp;  DATA.xlsx]OBJEKTIF 1'!$E$3</c:f>
              <c:strCache>
                <c:ptCount val="1"/>
                <c:pt idx="0">
                  <c:v>24 Hour</c:v>
                </c:pt>
              </c:strCache>
            </c:strRef>
          </c:tx>
          <c:spPr>
            <a:pattFill prst="diagBrick">
              <a:fgClr>
                <a:schemeClr val="tx1"/>
              </a:fgClr>
              <a:bgClr>
                <a:schemeClr val="bg1"/>
              </a:bgClr>
            </a:pattFill>
            <a:ln>
              <a:solidFill>
                <a:schemeClr val="tx1"/>
              </a:solidFill>
            </a:ln>
            <a:effectLst/>
          </c:spPr>
          <c:invertIfNegative val="0"/>
          <c:cat>
            <c:strRef>
              <c:f>'[OBJECTIVE  1 &amp; 2 &amp;  DATA.xlsx]OBJEKTIF 1'!$A$4:$A$10</c:f>
              <c:strCache>
                <c:ptCount val="7"/>
                <c:pt idx="0">
                  <c:v>pH6  (Cl₂)</c:v>
                </c:pt>
                <c:pt idx="1">
                  <c:v>pH7  (Cl₂)</c:v>
                </c:pt>
                <c:pt idx="2">
                  <c:v>pH8  (Cl₂)</c:v>
                </c:pt>
                <c:pt idx="4">
                  <c:v>pH6 (ClO₂)</c:v>
                </c:pt>
                <c:pt idx="5">
                  <c:v>pH7 (ClO₂)</c:v>
                </c:pt>
                <c:pt idx="6">
                  <c:v>pH8 (ClO₂)</c:v>
                </c:pt>
              </c:strCache>
            </c:strRef>
          </c:cat>
          <c:val>
            <c:numRef>
              <c:f>'[OBJECTIVE  1 &amp; 2 &amp;  DATA.xlsx]OBJEKTIF 1'!$E$4:$E$10</c:f>
              <c:numCache>
                <c:formatCode>0.0</c:formatCode>
                <c:ptCount val="7"/>
                <c:pt idx="0">
                  <c:v>29.301442393522649</c:v>
                </c:pt>
                <c:pt idx="1">
                  <c:v>49.416168325004882</c:v>
                </c:pt>
                <c:pt idx="2">
                  <c:v>12.400746834630663</c:v>
                </c:pt>
                <c:pt idx="4">
                  <c:v>14.346270359990735</c:v>
                </c:pt>
                <c:pt idx="5">
                  <c:v>15.925929974225738</c:v>
                </c:pt>
                <c:pt idx="6">
                  <c:v>14.44</c:v>
                </c:pt>
              </c:numCache>
            </c:numRef>
          </c:val>
        </c:ser>
        <c:dLbls>
          <c:showLegendKey val="0"/>
          <c:showVal val="0"/>
          <c:showCatName val="0"/>
          <c:showSerName val="0"/>
          <c:showPercent val="0"/>
          <c:showBubbleSize val="0"/>
        </c:dLbls>
        <c:gapWidth val="219"/>
        <c:overlap val="-27"/>
        <c:axId val="276123008"/>
        <c:axId val="296951808"/>
      </c:barChart>
      <c:catAx>
        <c:axId val="276123008"/>
        <c:scaling>
          <c:orientation val="minMax"/>
        </c:scaling>
        <c:delete val="0"/>
        <c:axPos val="b"/>
        <c:title>
          <c:tx>
            <c:rich>
              <a:bodyPr rot="0" vert="horz"/>
              <a:lstStyle/>
              <a:p>
                <a:pPr>
                  <a:defRPr/>
                </a:pPr>
                <a:r>
                  <a:rPr lang="en-US"/>
                  <a:t>pH (Disinfectant)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96951808"/>
        <c:crosses val="autoZero"/>
        <c:auto val="1"/>
        <c:lblAlgn val="ctr"/>
        <c:lblOffset val="100"/>
        <c:noMultiLvlLbl val="0"/>
      </c:catAx>
      <c:valAx>
        <c:axId val="29695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Concentration of TTHM (</a:t>
                </a:r>
                <a:r>
                  <a:rPr lang="el-GR"/>
                  <a:t>μ</a:t>
                </a:r>
                <a:r>
                  <a:rPr lang="en-US"/>
                  <a:t>g/L)</a:t>
                </a:r>
              </a:p>
            </c:rich>
          </c:tx>
          <c:overlay val="0"/>
          <c:spPr>
            <a:noFill/>
            <a:ln>
              <a:noFill/>
            </a:ln>
            <a:effectLst/>
          </c:spPr>
        </c:title>
        <c:numFmt formatCode="0.0" sourceLinked="1"/>
        <c:majorTickMark val="none"/>
        <c:minorTickMark val="none"/>
        <c:tickLblPos val="nextTo"/>
        <c:spPr>
          <a:noFill/>
          <a:ln>
            <a:noFill/>
          </a:ln>
          <a:effectLst/>
        </c:spPr>
        <c:txPr>
          <a:bodyPr rot="-60000000" vert="horz"/>
          <a:lstStyle/>
          <a:p>
            <a:pPr>
              <a:defRPr/>
            </a:pPr>
            <a:endParaRPr lang="en-US"/>
          </a:p>
        </c:txPr>
        <c:crossAx val="276123008"/>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'[OBJECTIVE  1 &amp; 2 &amp;  DATA.xlsx]OBJEKTIF 1'!$B$14</c:f>
              <c:strCache>
                <c:ptCount val="1"/>
                <c:pt idx="0">
                  <c:v>1 Hour</c:v>
                </c:pt>
              </c:strCache>
            </c:strRef>
          </c:tx>
          <c:spPr>
            <a:pattFill prst="ltUpDiag">
              <a:fgClr>
                <a:schemeClr val="tx1"/>
              </a:fgClr>
              <a:bgClr>
                <a:schemeClr val="bg1"/>
              </a:bgClr>
            </a:pattFill>
            <a:ln>
              <a:solidFill>
                <a:schemeClr val="tx1"/>
              </a:solidFill>
            </a:ln>
            <a:effectLst/>
          </c:spPr>
          <c:invertIfNegative val="0"/>
          <c:cat>
            <c:strRef>
              <c:f>'[OBJECTIVE  1 &amp; 2 &amp;  DATA.xlsx]OBJEKTIF 1'!$A$4:$A$10</c:f>
              <c:strCache>
                <c:ptCount val="7"/>
                <c:pt idx="0">
                  <c:v>pH6  (Cl₂)</c:v>
                </c:pt>
                <c:pt idx="1">
                  <c:v>pH7  (Cl₂)</c:v>
                </c:pt>
                <c:pt idx="2">
                  <c:v>pH8  (Cl₂)</c:v>
                </c:pt>
                <c:pt idx="4">
                  <c:v>pH6 (ClO₂)</c:v>
                </c:pt>
                <c:pt idx="5">
                  <c:v>pH7 (ClO₂)</c:v>
                </c:pt>
                <c:pt idx="6">
                  <c:v>pH8 (ClO₂)</c:v>
                </c:pt>
              </c:strCache>
            </c:strRef>
          </c:cat>
          <c:val>
            <c:numRef>
              <c:f>'[OBJECTIVE  1 &amp; 2 &amp;  DATA.xlsx]OBJEKTIF 1'!$B$15:$B$21</c:f>
              <c:numCache>
                <c:formatCode>0.0</c:formatCode>
                <c:ptCount val="7"/>
                <c:pt idx="0">
                  <c:v>17.910174760555684</c:v>
                </c:pt>
                <c:pt idx="1">
                  <c:v>40.319117054686473</c:v>
                </c:pt>
                <c:pt idx="2">
                  <c:v>17.766951733096288</c:v>
                </c:pt>
                <c:pt idx="4">
                  <c:v>19.016717011967643</c:v>
                </c:pt>
                <c:pt idx="5">
                  <c:v>32</c:v>
                </c:pt>
                <c:pt idx="6">
                  <c:v>21.356559000313457</c:v>
                </c:pt>
              </c:numCache>
            </c:numRef>
          </c:val>
        </c:ser>
        <c:ser>
          <c:idx val="1"/>
          <c:order val="1"/>
          <c:tx>
            <c:strRef>
              <c:f>'[OBJECTIVE  1 &amp; 2 &amp;  DATA.xlsx]OBJEKTIF 1'!$C$14</c:f>
              <c:strCache>
                <c:ptCount val="1"/>
                <c:pt idx="0">
                  <c:v>3 Hour</c:v>
                </c:pt>
              </c:strCache>
            </c:strRef>
          </c:tx>
          <c:spPr>
            <a:pattFill prst="pct10">
              <a:fgClr>
                <a:schemeClr val="accent2"/>
              </a:fgClr>
              <a:bgClr>
                <a:schemeClr val="bg1"/>
              </a:bgClr>
            </a:pattFill>
            <a:ln>
              <a:solidFill>
                <a:schemeClr val="tx1"/>
              </a:solidFill>
            </a:ln>
            <a:effectLst/>
          </c:spPr>
          <c:invertIfNegative val="0"/>
          <c:cat>
            <c:strRef>
              <c:f>'[OBJECTIVE  1 &amp; 2 &amp;  DATA.xlsx]OBJEKTIF 1'!$A$4:$A$10</c:f>
              <c:strCache>
                <c:ptCount val="7"/>
                <c:pt idx="0">
                  <c:v>pH6  (Cl₂)</c:v>
                </c:pt>
                <c:pt idx="1">
                  <c:v>pH7  (Cl₂)</c:v>
                </c:pt>
                <c:pt idx="2">
                  <c:v>pH8  (Cl₂)</c:v>
                </c:pt>
                <c:pt idx="4">
                  <c:v>pH6 (ClO₂)</c:v>
                </c:pt>
                <c:pt idx="5">
                  <c:v>pH7 (ClO₂)</c:v>
                </c:pt>
                <c:pt idx="6">
                  <c:v>pH8 (ClO₂)</c:v>
                </c:pt>
              </c:strCache>
            </c:strRef>
          </c:cat>
          <c:val>
            <c:numRef>
              <c:f>'[OBJECTIVE  1 &amp; 2 &amp;  DATA.xlsx]OBJEKTIF 1'!$C$15:$C$21</c:f>
              <c:numCache>
                <c:formatCode>0.0</c:formatCode>
                <c:ptCount val="7"/>
                <c:pt idx="0">
                  <c:v>14.761470366115404</c:v>
                </c:pt>
                <c:pt idx="1">
                  <c:v>13.801699868578085</c:v>
                </c:pt>
                <c:pt idx="2">
                  <c:v>18.472557085809004</c:v>
                </c:pt>
                <c:pt idx="4">
                  <c:v>17.018756446036171</c:v>
                </c:pt>
                <c:pt idx="5">
                  <c:v>38</c:v>
                </c:pt>
                <c:pt idx="6">
                  <c:v>17.759360997593056</c:v>
                </c:pt>
              </c:numCache>
            </c:numRef>
          </c:val>
        </c:ser>
        <c:ser>
          <c:idx val="2"/>
          <c:order val="2"/>
          <c:tx>
            <c:strRef>
              <c:f>'[OBJECTIVE  1 &amp; 2 &amp;  DATA.xlsx]OBJEKTIF 1'!$D$14</c:f>
              <c:strCache>
                <c:ptCount val="1"/>
                <c:pt idx="0">
                  <c:v>6 Hour</c:v>
                </c:pt>
              </c:strCache>
            </c:strRef>
          </c:tx>
          <c:spPr>
            <a:pattFill prst="wdDnDiag">
              <a:fgClr>
                <a:schemeClr val="tx1"/>
              </a:fgClr>
              <a:bgClr>
                <a:schemeClr val="bg1"/>
              </a:bgClr>
            </a:pattFill>
            <a:ln>
              <a:solidFill>
                <a:schemeClr val="tx1"/>
              </a:solidFill>
            </a:ln>
            <a:effectLst/>
          </c:spPr>
          <c:invertIfNegative val="0"/>
          <c:cat>
            <c:strRef>
              <c:f>'[OBJECTIVE  1 &amp; 2 &amp;  DATA.xlsx]OBJEKTIF 1'!$A$4:$A$10</c:f>
              <c:strCache>
                <c:ptCount val="7"/>
                <c:pt idx="0">
                  <c:v>pH6  (Cl₂)</c:v>
                </c:pt>
                <c:pt idx="1">
                  <c:v>pH7  (Cl₂)</c:v>
                </c:pt>
                <c:pt idx="2">
                  <c:v>pH8  (Cl₂)</c:v>
                </c:pt>
                <c:pt idx="4">
                  <c:v>pH6 (ClO₂)</c:v>
                </c:pt>
                <c:pt idx="5">
                  <c:v>pH7 (ClO₂)</c:v>
                </c:pt>
                <c:pt idx="6">
                  <c:v>pH8 (ClO₂)</c:v>
                </c:pt>
              </c:strCache>
            </c:strRef>
          </c:cat>
          <c:val>
            <c:numRef>
              <c:f>'[OBJECTIVE  1 &amp; 2 &amp;  DATA.xlsx]OBJEKTIF 1'!$D$15:$D$21</c:f>
              <c:numCache>
                <c:formatCode>0.0</c:formatCode>
                <c:ptCount val="7"/>
                <c:pt idx="0">
                  <c:v>19.430569931937399</c:v>
                </c:pt>
                <c:pt idx="1">
                  <c:v>15.589424236359818</c:v>
                </c:pt>
                <c:pt idx="2">
                  <c:v>18.434063702345981</c:v>
                </c:pt>
                <c:pt idx="4">
                  <c:v>15.587994694060582</c:v>
                </c:pt>
                <c:pt idx="5">
                  <c:v>15.048516047384012</c:v>
                </c:pt>
                <c:pt idx="6">
                  <c:v>21.214641300809795</c:v>
                </c:pt>
              </c:numCache>
            </c:numRef>
          </c:val>
        </c:ser>
        <c:ser>
          <c:idx val="3"/>
          <c:order val="3"/>
          <c:tx>
            <c:strRef>
              <c:f>'[OBJECTIVE  1 &amp; 2 &amp;  DATA.xlsx]OBJEKTIF 1'!$E$14</c:f>
              <c:strCache>
                <c:ptCount val="1"/>
                <c:pt idx="0">
                  <c:v>24 Hour</c:v>
                </c:pt>
              </c:strCache>
            </c:strRef>
          </c:tx>
          <c:spPr>
            <a:pattFill prst="diagBrick">
              <a:fgClr>
                <a:schemeClr val="tx1"/>
              </a:fgClr>
              <a:bgClr>
                <a:schemeClr val="bg1"/>
              </a:bgClr>
            </a:pattFill>
            <a:ln>
              <a:solidFill>
                <a:schemeClr val="tx1"/>
              </a:solidFill>
            </a:ln>
            <a:effectLst/>
          </c:spPr>
          <c:invertIfNegative val="0"/>
          <c:cat>
            <c:strRef>
              <c:f>'[OBJECTIVE  1 &amp; 2 &amp;  DATA.xlsx]OBJEKTIF 1'!$A$4:$A$10</c:f>
              <c:strCache>
                <c:ptCount val="7"/>
                <c:pt idx="0">
                  <c:v>pH6  (Cl₂)</c:v>
                </c:pt>
                <c:pt idx="1">
                  <c:v>pH7  (Cl₂)</c:v>
                </c:pt>
                <c:pt idx="2">
                  <c:v>pH8  (Cl₂)</c:v>
                </c:pt>
                <c:pt idx="4">
                  <c:v>pH6 (ClO₂)</c:v>
                </c:pt>
                <c:pt idx="5">
                  <c:v>pH7 (ClO₂)</c:v>
                </c:pt>
                <c:pt idx="6">
                  <c:v>pH8 (ClO₂)</c:v>
                </c:pt>
              </c:strCache>
            </c:strRef>
          </c:cat>
          <c:val>
            <c:numRef>
              <c:f>'[OBJECTIVE  1 &amp; 2 &amp;  DATA.xlsx]OBJEKTIF 1'!$E$15:$E$21</c:f>
              <c:numCache>
                <c:formatCode>0.0</c:formatCode>
                <c:ptCount val="7"/>
                <c:pt idx="0">
                  <c:v>43.20655840139375</c:v>
                </c:pt>
                <c:pt idx="1">
                  <c:v>16.902748788268806</c:v>
                </c:pt>
                <c:pt idx="2">
                  <c:v>19.876233638226154</c:v>
                </c:pt>
                <c:pt idx="4">
                  <c:v>30.001274883683539</c:v>
                </c:pt>
                <c:pt idx="5">
                  <c:v>18.422758684216618</c:v>
                </c:pt>
                <c:pt idx="6">
                  <c:v>22.947015086351065</c:v>
                </c:pt>
              </c:numCache>
            </c:numRef>
          </c:val>
        </c:ser>
        <c:dLbls>
          <c:showLegendKey val="0"/>
          <c:showVal val="0"/>
          <c:showCatName val="0"/>
          <c:showSerName val="0"/>
          <c:showPercent val="0"/>
          <c:showBubbleSize val="0"/>
        </c:dLbls>
        <c:gapWidth val="219"/>
        <c:overlap val="-27"/>
        <c:axId val="297193856"/>
        <c:axId val="297195776"/>
      </c:barChart>
      <c:catAx>
        <c:axId val="297193856"/>
        <c:scaling>
          <c:orientation val="minMax"/>
        </c:scaling>
        <c:delete val="0"/>
        <c:axPos val="b"/>
        <c:title>
          <c:tx>
            <c:rich>
              <a:bodyPr rot="0" vert="horz"/>
              <a:lstStyle/>
              <a:p>
                <a:pPr>
                  <a:defRPr/>
                </a:pPr>
                <a:r>
                  <a:rPr lang="en-US"/>
                  <a:t>pH (Disinfectant)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297195776"/>
        <c:crosses val="autoZero"/>
        <c:auto val="1"/>
        <c:lblAlgn val="ctr"/>
        <c:lblOffset val="100"/>
        <c:noMultiLvlLbl val="0"/>
      </c:catAx>
      <c:valAx>
        <c:axId val="29719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Concentration of TTHM (</a:t>
                </a:r>
                <a:r>
                  <a:rPr lang="el-GR"/>
                  <a:t>μ</a:t>
                </a:r>
                <a:r>
                  <a:rPr lang="en-US"/>
                  <a:t>g/L)</a:t>
                </a:r>
              </a:p>
            </c:rich>
          </c:tx>
          <c:layout>
            <c:manualLayout>
              <c:xMode val="edge"/>
              <c:yMode val="edge"/>
              <c:x val="2.3424139935528193E-2"/>
              <c:y val="0.11527696793002913"/>
            </c:manualLayout>
          </c:layout>
          <c:overlay val="0"/>
          <c:spPr>
            <a:noFill/>
            <a:ln>
              <a:noFill/>
            </a:ln>
            <a:effectLst/>
          </c:spPr>
        </c:title>
        <c:numFmt formatCode="0.0" sourceLinked="1"/>
        <c:majorTickMark val="none"/>
        <c:minorTickMark val="none"/>
        <c:tickLblPos val="nextTo"/>
        <c:spPr>
          <a:noFill/>
          <a:ln>
            <a:noFill/>
          </a:ln>
          <a:effectLst/>
        </c:spPr>
        <c:txPr>
          <a:bodyPr rot="-60000000" vert="horz"/>
          <a:lstStyle/>
          <a:p>
            <a:pPr>
              <a:defRPr/>
            </a:pPr>
            <a:endParaRPr lang="en-US"/>
          </a:p>
        </c:txPr>
        <c:crossAx val="297193856"/>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 Mokhtar</dc:creator>
  <cp:lastModifiedBy>Hana Mokhtar</cp:lastModifiedBy>
  <cp:revision>31</cp:revision>
  <dcterms:created xsi:type="dcterms:W3CDTF">2017-06-15T07:00:00Z</dcterms:created>
  <dcterms:modified xsi:type="dcterms:W3CDTF">2017-06-15T10:56:00Z</dcterms:modified>
</cp:coreProperties>
</file>