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A92" w:rsidRPr="0080667E" w:rsidRDefault="00E65379" w:rsidP="00E65379">
      <w:pPr>
        <w:jc w:val="center"/>
        <w:rPr>
          <w:rFonts w:ascii="Times New Roman" w:hAnsi="Times New Roman" w:cs="Times New Roman"/>
          <w:b/>
          <w:sz w:val="26"/>
          <w:szCs w:val="26"/>
        </w:rPr>
      </w:pPr>
      <w:r w:rsidRPr="0080667E">
        <w:rPr>
          <w:rFonts w:ascii="Times New Roman" w:hAnsi="Times New Roman" w:cs="Times New Roman"/>
          <w:b/>
          <w:sz w:val="26"/>
          <w:szCs w:val="26"/>
        </w:rPr>
        <w:t xml:space="preserve">Liquid Fuel Production from Biomass Tar by Hydrogenation  </w:t>
      </w:r>
    </w:p>
    <w:p w:rsidR="00E65379" w:rsidRPr="005433AD" w:rsidRDefault="00E65379" w:rsidP="00E65379">
      <w:pPr>
        <w:jc w:val="center"/>
        <w:rPr>
          <w:rFonts w:ascii="Times New Roman" w:hAnsi="Times New Roman" w:cs="Times New Roman"/>
          <w:b/>
          <w:i/>
        </w:rPr>
      </w:pPr>
      <w:r w:rsidRPr="005433AD">
        <w:rPr>
          <w:rFonts w:ascii="Times New Roman" w:hAnsi="Times New Roman" w:cs="Times New Roman"/>
          <w:b/>
          <w:i/>
        </w:rPr>
        <w:t xml:space="preserve">Dr. Moe </w:t>
      </w:r>
      <w:proofErr w:type="spellStart"/>
      <w:r w:rsidRPr="005433AD">
        <w:rPr>
          <w:rFonts w:ascii="Times New Roman" w:hAnsi="Times New Roman" w:cs="Times New Roman"/>
          <w:b/>
          <w:i/>
        </w:rPr>
        <w:t>Thanda</w:t>
      </w:r>
      <w:proofErr w:type="spellEnd"/>
      <w:r w:rsidRPr="005433AD">
        <w:rPr>
          <w:rFonts w:ascii="Times New Roman" w:hAnsi="Times New Roman" w:cs="Times New Roman"/>
          <w:b/>
          <w:i/>
        </w:rPr>
        <w:t xml:space="preserve"> </w:t>
      </w:r>
      <w:proofErr w:type="spellStart"/>
      <w:r w:rsidRPr="005433AD">
        <w:rPr>
          <w:rFonts w:ascii="Times New Roman" w:hAnsi="Times New Roman" w:cs="Times New Roman"/>
          <w:b/>
          <w:i/>
        </w:rPr>
        <w:t>Kyi</w:t>
      </w:r>
      <w:proofErr w:type="spellEnd"/>
      <w:r w:rsidRPr="005433AD">
        <w:rPr>
          <w:rFonts w:ascii="Times New Roman" w:hAnsi="Times New Roman" w:cs="Times New Roman"/>
          <w:b/>
          <w:i/>
          <w:vertAlign w:val="superscript"/>
        </w:rPr>
        <w:t xml:space="preserve"> *1)</w:t>
      </w:r>
      <w:r w:rsidRPr="005433AD">
        <w:rPr>
          <w:rFonts w:ascii="Times New Roman" w:hAnsi="Times New Roman" w:cs="Times New Roman"/>
          <w:b/>
          <w:i/>
        </w:rPr>
        <w:t xml:space="preserve">, Dr. Reiji Noda </w:t>
      </w:r>
      <w:r w:rsidRPr="005433AD">
        <w:rPr>
          <w:rFonts w:ascii="Times New Roman" w:hAnsi="Times New Roman" w:cs="Times New Roman"/>
          <w:b/>
          <w:i/>
          <w:vertAlign w:val="superscript"/>
        </w:rPr>
        <w:t>2)</w:t>
      </w:r>
    </w:p>
    <w:p w:rsidR="00777062" w:rsidRDefault="00E65379" w:rsidP="00777062">
      <w:pPr>
        <w:pStyle w:val="ListParagraph"/>
        <w:numPr>
          <w:ilvl w:val="0"/>
          <w:numId w:val="1"/>
        </w:numPr>
        <w:jc w:val="center"/>
        <w:rPr>
          <w:rFonts w:ascii="Times New Roman" w:hAnsi="Times New Roman" w:cs="Times New Roman"/>
          <w:i/>
        </w:rPr>
      </w:pPr>
      <w:r w:rsidRPr="005433AD">
        <w:rPr>
          <w:rFonts w:ascii="Times New Roman" w:hAnsi="Times New Roman" w:cs="Times New Roman"/>
          <w:i/>
        </w:rPr>
        <w:t>Professor and Head</w:t>
      </w:r>
      <w:r w:rsidR="00A46481">
        <w:rPr>
          <w:rFonts w:ascii="Times New Roman" w:hAnsi="Times New Roman" w:cs="Times New Roman"/>
          <w:i/>
        </w:rPr>
        <w:t xml:space="preserve">, </w:t>
      </w:r>
      <w:r w:rsidRPr="00A46481">
        <w:rPr>
          <w:rFonts w:ascii="Times New Roman" w:hAnsi="Times New Roman" w:cs="Times New Roman"/>
          <w:i/>
        </w:rPr>
        <w:t>Fuel and Propellant Engineering Department</w:t>
      </w:r>
      <w:r w:rsidR="00777062">
        <w:rPr>
          <w:rFonts w:ascii="Times New Roman" w:hAnsi="Times New Roman" w:cs="Times New Roman"/>
          <w:i/>
        </w:rPr>
        <w:t>,</w:t>
      </w:r>
    </w:p>
    <w:p w:rsidR="00E65379" w:rsidRPr="00777062" w:rsidRDefault="00E65379" w:rsidP="00777062">
      <w:pPr>
        <w:pStyle w:val="ListParagraph"/>
        <w:jc w:val="center"/>
        <w:rPr>
          <w:rFonts w:ascii="Times New Roman" w:hAnsi="Times New Roman" w:cs="Times New Roman"/>
          <w:i/>
        </w:rPr>
      </w:pPr>
      <w:r w:rsidRPr="00777062">
        <w:rPr>
          <w:rFonts w:ascii="Times New Roman" w:hAnsi="Times New Roman" w:cs="Times New Roman"/>
          <w:i/>
        </w:rPr>
        <w:t>Myanmar Aerospace Engineering University</w:t>
      </w:r>
      <w:r w:rsidR="00A46481" w:rsidRPr="00777062">
        <w:rPr>
          <w:rFonts w:ascii="Times New Roman" w:hAnsi="Times New Roman" w:cs="Times New Roman"/>
          <w:i/>
        </w:rPr>
        <w:t xml:space="preserve">, </w:t>
      </w:r>
      <w:r w:rsidRPr="00777062">
        <w:rPr>
          <w:rFonts w:ascii="Times New Roman" w:hAnsi="Times New Roman" w:cs="Times New Roman"/>
          <w:i/>
        </w:rPr>
        <w:t>Myanmar</w:t>
      </w:r>
    </w:p>
    <w:p w:rsidR="00E65379" w:rsidRDefault="006F74BE" w:rsidP="00E65379">
      <w:pPr>
        <w:jc w:val="center"/>
        <w:rPr>
          <w:rFonts w:ascii="Times New Roman" w:hAnsi="Times New Roman" w:cs="Times New Roman"/>
        </w:rPr>
      </w:pPr>
      <w:hyperlink r:id="rId6" w:history="1">
        <w:r w:rsidR="00E65379" w:rsidRPr="00ED64B5">
          <w:rPr>
            <w:rStyle w:val="Hyperlink"/>
            <w:rFonts w:ascii="Times New Roman" w:hAnsi="Times New Roman" w:cs="Times New Roman"/>
          </w:rPr>
          <w:t>moethandakyi@gmail.com</w:t>
        </w:r>
      </w:hyperlink>
    </w:p>
    <w:p w:rsidR="00E65379" w:rsidRPr="00A46481" w:rsidRDefault="00E65379" w:rsidP="00A46481">
      <w:pPr>
        <w:pStyle w:val="ListParagraph"/>
        <w:numPr>
          <w:ilvl w:val="0"/>
          <w:numId w:val="1"/>
        </w:numPr>
        <w:jc w:val="center"/>
        <w:rPr>
          <w:rFonts w:ascii="Times New Roman" w:hAnsi="Times New Roman" w:cs="Times New Roman"/>
          <w:i/>
        </w:rPr>
      </w:pPr>
      <w:r w:rsidRPr="005433AD">
        <w:rPr>
          <w:rFonts w:ascii="Times New Roman" w:hAnsi="Times New Roman" w:cs="Times New Roman"/>
          <w:i/>
        </w:rPr>
        <w:t>Associate Professor</w:t>
      </w:r>
      <w:r w:rsidR="00A46481">
        <w:rPr>
          <w:rFonts w:ascii="Times New Roman" w:hAnsi="Times New Roman" w:cs="Times New Roman"/>
          <w:i/>
        </w:rPr>
        <w:t xml:space="preserve">, </w:t>
      </w:r>
      <w:r w:rsidRPr="00A46481">
        <w:rPr>
          <w:rFonts w:ascii="Times New Roman" w:hAnsi="Times New Roman" w:cs="Times New Roman"/>
          <w:i/>
        </w:rPr>
        <w:t>Graduate School of Science and Technology</w:t>
      </w:r>
    </w:p>
    <w:p w:rsidR="00E65379" w:rsidRPr="005433AD" w:rsidRDefault="00E65379" w:rsidP="00777062">
      <w:pPr>
        <w:jc w:val="center"/>
        <w:rPr>
          <w:rFonts w:ascii="Times New Roman" w:hAnsi="Times New Roman" w:cs="Times New Roman"/>
          <w:i/>
        </w:rPr>
      </w:pPr>
      <w:r w:rsidRPr="005433AD">
        <w:rPr>
          <w:rFonts w:ascii="Times New Roman" w:hAnsi="Times New Roman" w:cs="Times New Roman"/>
          <w:i/>
        </w:rPr>
        <w:t>Division of Environmental Engineering Science</w:t>
      </w:r>
      <w:r w:rsidR="00A46481">
        <w:rPr>
          <w:rFonts w:ascii="Times New Roman" w:hAnsi="Times New Roman" w:cs="Times New Roman"/>
          <w:i/>
        </w:rPr>
        <w:t xml:space="preserve">, </w:t>
      </w:r>
      <w:r w:rsidRPr="005433AD">
        <w:rPr>
          <w:rFonts w:ascii="Times New Roman" w:hAnsi="Times New Roman" w:cs="Times New Roman"/>
          <w:i/>
        </w:rPr>
        <w:t>Gunma University</w:t>
      </w:r>
      <w:r w:rsidR="00777062">
        <w:rPr>
          <w:rFonts w:ascii="Times New Roman" w:hAnsi="Times New Roman" w:cs="Times New Roman"/>
          <w:i/>
        </w:rPr>
        <w:t xml:space="preserve">, </w:t>
      </w:r>
      <w:r w:rsidRPr="005433AD">
        <w:rPr>
          <w:rFonts w:ascii="Times New Roman" w:hAnsi="Times New Roman" w:cs="Times New Roman"/>
          <w:i/>
        </w:rPr>
        <w:t>Japan</w:t>
      </w:r>
    </w:p>
    <w:p w:rsidR="005D4AA9" w:rsidRPr="005D4AA9" w:rsidRDefault="005D4AA9" w:rsidP="005D4AA9">
      <w:pPr>
        <w:rPr>
          <w:rFonts w:ascii="Times New Roman" w:hAnsi="Times New Roman" w:cs="Times New Roman"/>
          <w:b/>
        </w:rPr>
      </w:pPr>
      <w:r w:rsidRPr="005D4AA9">
        <w:rPr>
          <w:rFonts w:ascii="Times New Roman" w:hAnsi="Times New Roman" w:cs="Times New Roman"/>
          <w:b/>
        </w:rPr>
        <w:t xml:space="preserve">Abstract </w:t>
      </w:r>
    </w:p>
    <w:p w:rsidR="005D4AA9" w:rsidRPr="005D4AA9" w:rsidRDefault="005D4AA9" w:rsidP="005D4AA9">
      <w:pPr>
        <w:jc w:val="both"/>
        <w:rPr>
          <w:rFonts w:ascii="Times New Roman" w:hAnsi="Times New Roman" w:cs="Times New Roman"/>
        </w:rPr>
      </w:pPr>
      <w:r w:rsidRPr="005D4AA9">
        <w:rPr>
          <w:rFonts w:ascii="Times New Roman" w:hAnsi="Times New Roman" w:cs="Times New Roman"/>
        </w:rPr>
        <w:t>We observed that bio - oils production from heavy tar which is organic phase o</w:t>
      </w:r>
      <w:r>
        <w:rPr>
          <w:rFonts w:ascii="Times New Roman" w:hAnsi="Times New Roman" w:cs="Times New Roman"/>
        </w:rPr>
        <w:t xml:space="preserve">f pyrolysis oil using </w:t>
      </w:r>
      <w:proofErr w:type="spellStart"/>
      <w:r>
        <w:rPr>
          <w:rFonts w:ascii="Times New Roman" w:hAnsi="Times New Roman" w:cs="Times New Roman"/>
        </w:rPr>
        <w:t>CoMo</w:t>
      </w:r>
      <w:proofErr w:type="spellEnd"/>
      <w:r>
        <w:rPr>
          <w:rFonts w:ascii="Times New Roman" w:hAnsi="Times New Roman" w:cs="Times New Roman"/>
        </w:rPr>
        <w:t>/Al</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3</w:t>
      </w:r>
      <w:r w:rsidRPr="005D4AA9">
        <w:rPr>
          <w:rFonts w:ascii="Times New Roman" w:hAnsi="Times New Roman" w:cs="Times New Roman"/>
        </w:rPr>
        <w:t xml:space="preserve"> catalyst in the bench scale hydrogenation process. </w:t>
      </w:r>
      <w:proofErr w:type="gramStart"/>
      <w:r w:rsidRPr="005D4AA9">
        <w:rPr>
          <w:rFonts w:ascii="Times New Roman" w:hAnsi="Times New Roman" w:cs="Times New Roman"/>
        </w:rPr>
        <w:t>This experiments</w:t>
      </w:r>
      <w:proofErr w:type="gramEnd"/>
      <w:r w:rsidRPr="005D4AA9">
        <w:rPr>
          <w:rFonts w:ascii="Times New Roman" w:hAnsi="Times New Roman" w:cs="Times New Roman"/>
        </w:rPr>
        <w:t xml:space="preserve"> were carried out at varying temperatures 300,400 and 500°C in hydrogenation reactor. The effect of reaction temperature, retention time, feed rate, space velocity (SV), hydrogen concentration, and catalyst loading factor on bio-oil yield, carbon content, and carbon recovery of heavy tar by catalytic conversion was investigated. The six variables ranged from 300 to 500 °C for temperature,0-140 min for retention time, 1,2, and 3.3 g-tar/min for feed rate,0.1,0.2,and 0.4 </w:t>
      </w:r>
      <w:r>
        <w:rPr>
          <w:rFonts w:ascii="Times New Roman" w:hAnsi="Times New Roman" w:cs="Times New Roman"/>
        </w:rPr>
        <w:t>s</w:t>
      </w:r>
      <w:r>
        <w:rPr>
          <w:rFonts w:ascii="Times New Roman" w:hAnsi="Times New Roman" w:cs="Times New Roman"/>
          <w:vertAlign w:val="superscript"/>
        </w:rPr>
        <w:t>-1</w:t>
      </w:r>
      <w:r>
        <w:rPr>
          <w:rFonts w:ascii="Times New Roman" w:hAnsi="Times New Roman" w:cs="Times New Roman"/>
        </w:rPr>
        <w:t xml:space="preserve"> for</w:t>
      </w:r>
      <w:r w:rsidRPr="005D4AA9">
        <w:rPr>
          <w:rFonts w:ascii="Times New Roman" w:hAnsi="Times New Roman" w:cs="Times New Roman"/>
        </w:rPr>
        <w:t xml:space="preserve"> SV, 25,50, and 75 v% for hydrogen concentration, and  1.3,2.7 and 4.4 mg-tar /min/g-cat for catalyst loading factor. The product oils analyzed using Karl Fischer moisture titrating analyzer, Total organic carbon (TOC) analyzer, GC – 14A gas chromatography, Agilent 3000 micro gas chromatography and elemental analysis. It was found that maximum bio-oil yield of 29wt% was obtained at 400°C,60-140 min,</w:t>
      </w:r>
      <w:r>
        <w:rPr>
          <w:rFonts w:ascii="Times New Roman" w:hAnsi="Times New Roman" w:cs="Times New Roman"/>
        </w:rPr>
        <w:t>2 g-tar/min feed rate,0.2 s</w:t>
      </w:r>
      <w:r>
        <w:rPr>
          <w:rFonts w:ascii="Times New Roman" w:hAnsi="Times New Roman" w:cs="Times New Roman"/>
          <w:vertAlign w:val="superscript"/>
        </w:rPr>
        <w:t>-1</w:t>
      </w:r>
      <w:r w:rsidRPr="005D4AA9">
        <w:rPr>
          <w:rFonts w:ascii="Times New Roman" w:hAnsi="Times New Roman" w:cs="Times New Roman"/>
        </w:rPr>
        <w:t xml:space="preserve"> SV,50 v% hydrogen concentration and 2.7 mg-tar /min/g-cat catalyst loading. In this study, it was able to produce a high quality liquid fuel with minimum water content 0.3wt% in oil phase and maximum level of HHV (39.8MJ/kg).  The oil was also observed to have an abundant amount of aromatic compounds. It was possible to produce multi-component fuels through the hydrogenation of bio-oils from heavy tar. </w:t>
      </w:r>
    </w:p>
    <w:p w:rsidR="005D4AA9" w:rsidRDefault="005D4AA9" w:rsidP="005D4AA9">
      <w:pPr>
        <w:jc w:val="both"/>
        <w:rPr>
          <w:rFonts w:ascii="Times New Roman" w:hAnsi="Times New Roman" w:cs="Times New Roman"/>
        </w:rPr>
      </w:pPr>
      <w:r w:rsidRPr="005D4AA9">
        <w:rPr>
          <w:rFonts w:ascii="Times New Roman" w:hAnsi="Times New Roman" w:cs="Times New Roman"/>
          <w:b/>
        </w:rPr>
        <w:t>Keywords:</w:t>
      </w:r>
      <w:r>
        <w:rPr>
          <w:rFonts w:ascii="Times New Roman" w:hAnsi="Times New Roman" w:cs="Times New Roman"/>
        </w:rPr>
        <w:t xml:space="preserve">  Bio-oil; Bio-oil yield; Catalytic conversion; </w:t>
      </w:r>
      <w:proofErr w:type="spellStart"/>
      <w:r>
        <w:rPr>
          <w:rFonts w:ascii="Times New Roman" w:hAnsi="Times New Roman" w:cs="Times New Roman"/>
        </w:rPr>
        <w:t>CoMo</w:t>
      </w:r>
      <w:proofErr w:type="spellEnd"/>
      <w:r>
        <w:rPr>
          <w:rFonts w:ascii="Times New Roman" w:hAnsi="Times New Roman" w:cs="Times New Roman"/>
        </w:rPr>
        <w:t>/Al</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3</w:t>
      </w:r>
      <w:r w:rsidRPr="005D4AA9">
        <w:rPr>
          <w:rFonts w:ascii="Times New Roman" w:hAnsi="Times New Roman" w:cs="Times New Roman"/>
        </w:rPr>
        <w:t xml:space="preserve"> cataly</w:t>
      </w:r>
      <w:r>
        <w:rPr>
          <w:rFonts w:ascii="Times New Roman" w:hAnsi="Times New Roman" w:cs="Times New Roman"/>
        </w:rPr>
        <w:t>st;</w:t>
      </w:r>
      <w:r w:rsidRPr="005D4AA9">
        <w:rPr>
          <w:rFonts w:ascii="Times New Roman" w:hAnsi="Times New Roman" w:cs="Times New Roman"/>
        </w:rPr>
        <w:t xml:space="preserve"> Heavy tar</w:t>
      </w:r>
    </w:p>
    <w:p w:rsidR="005433AD" w:rsidRDefault="005433AD" w:rsidP="005D4AA9">
      <w:pPr>
        <w:jc w:val="both"/>
        <w:rPr>
          <w:rFonts w:ascii="Times New Roman" w:hAnsi="Times New Roman" w:cs="Times New Roman"/>
          <w:b/>
        </w:rPr>
      </w:pPr>
      <w:r w:rsidRPr="005433AD">
        <w:rPr>
          <w:rFonts w:ascii="Times New Roman" w:hAnsi="Times New Roman" w:cs="Times New Roman"/>
          <w:b/>
        </w:rPr>
        <w:t>Introduction</w:t>
      </w:r>
    </w:p>
    <w:p w:rsidR="0080667E" w:rsidRDefault="0080667E" w:rsidP="0080667E">
      <w:pPr>
        <w:jc w:val="both"/>
        <w:rPr>
          <w:rFonts w:ascii="Times New Roman" w:hAnsi="Times New Roman" w:cs="Times New Roman"/>
        </w:rPr>
      </w:pPr>
      <w:r>
        <w:rPr>
          <w:rFonts w:ascii="Times New Roman" w:hAnsi="Times New Roman" w:cs="Times New Roman"/>
        </w:rPr>
        <w:t xml:space="preserve">            </w:t>
      </w:r>
      <w:r w:rsidRPr="0080667E">
        <w:rPr>
          <w:rFonts w:ascii="Times New Roman" w:hAnsi="Times New Roman" w:cs="Times New Roman"/>
        </w:rPr>
        <w:t xml:space="preserve">The Government of Myanmar is undertaking measures to increase private sector participation by attracting foreign direct investment for accelerating the growth of development of the renewable energy sector. Formulate projects that support research and development on variety improvement of bio fuel technology and bio fuel processing contain human resource development, upgrading laboratory facilities, standardization of quality and control, and production and distribution of bio </w:t>
      </w:r>
      <w:proofErr w:type="spellStart"/>
      <w:r w:rsidRPr="0080667E">
        <w:rPr>
          <w:rFonts w:ascii="Times New Roman" w:hAnsi="Times New Roman" w:cs="Times New Roman"/>
        </w:rPr>
        <w:t>fuels.One</w:t>
      </w:r>
      <w:proofErr w:type="spellEnd"/>
      <w:r w:rsidRPr="0080667E">
        <w:rPr>
          <w:rFonts w:ascii="Times New Roman" w:hAnsi="Times New Roman" w:cs="Times New Roman"/>
        </w:rPr>
        <w:t xml:space="preserve"> of the challenges of this process is, thus, the control over the extent of hydrogenation. This paper aims to give methods of hydrogenation liquefaction and liquid fuel production from heavy tar and their potential of development.</w:t>
      </w:r>
      <w:r w:rsidRPr="0080667E">
        <w:t xml:space="preserve"> </w:t>
      </w:r>
      <w:r w:rsidRPr="0080667E">
        <w:rPr>
          <w:rFonts w:ascii="Times New Roman" w:hAnsi="Times New Roman" w:cs="Times New Roman"/>
        </w:rPr>
        <w:lastRenderedPageBreak/>
        <w:t>The main o</w:t>
      </w:r>
      <w:r>
        <w:rPr>
          <w:rFonts w:ascii="Times New Roman" w:hAnsi="Times New Roman" w:cs="Times New Roman"/>
        </w:rPr>
        <w:t xml:space="preserve">bjectives of this research are; </w:t>
      </w:r>
      <w:r w:rsidRPr="0080667E">
        <w:rPr>
          <w:rFonts w:ascii="Times New Roman" w:hAnsi="Times New Roman" w:cs="Times New Roman"/>
        </w:rPr>
        <w:t>a. To understand biomass hydrogenation liquefac</w:t>
      </w:r>
      <w:r>
        <w:rPr>
          <w:rFonts w:ascii="Times New Roman" w:hAnsi="Times New Roman" w:cs="Times New Roman"/>
        </w:rPr>
        <w:t xml:space="preserve">tion process, </w:t>
      </w:r>
      <w:r w:rsidRPr="0080667E">
        <w:rPr>
          <w:rFonts w:ascii="Times New Roman" w:hAnsi="Times New Roman" w:cs="Times New Roman"/>
        </w:rPr>
        <w:t xml:space="preserve">b. </w:t>
      </w:r>
      <w:proofErr w:type="gramStart"/>
      <w:r w:rsidRPr="0080667E">
        <w:rPr>
          <w:rFonts w:ascii="Times New Roman" w:hAnsi="Times New Roman" w:cs="Times New Roman"/>
        </w:rPr>
        <w:t xml:space="preserve">To know </w:t>
      </w:r>
      <w:proofErr w:type="spellStart"/>
      <w:r w:rsidRPr="0080667E">
        <w:rPr>
          <w:rFonts w:ascii="Times New Roman" w:hAnsi="Times New Roman" w:cs="Times New Roman"/>
        </w:rPr>
        <w:t>presulfurization</w:t>
      </w:r>
      <w:proofErr w:type="spellEnd"/>
      <w:r w:rsidRPr="0080667E">
        <w:rPr>
          <w:rFonts w:ascii="Times New Roman" w:hAnsi="Times New Roman" w:cs="Times New Roman"/>
        </w:rPr>
        <w:t xml:space="preserve"> condition for hydrogenation catalyst</w:t>
      </w:r>
      <w:r>
        <w:rPr>
          <w:rFonts w:ascii="Times New Roman" w:hAnsi="Times New Roman" w:cs="Times New Roman"/>
        </w:rPr>
        <w:t>, c.</w:t>
      </w:r>
      <w:proofErr w:type="gramEnd"/>
      <w:r>
        <w:rPr>
          <w:rFonts w:ascii="Times New Roman" w:hAnsi="Times New Roman" w:cs="Times New Roman"/>
        </w:rPr>
        <w:t xml:space="preserve"> </w:t>
      </w:r>
      <w:proofErr w:type="gramStart"/>
      <w:r w:rsidRPr="0080667E">
        <w:rPr>
          <w:rFonts w:ascii="Times New Roman" w:hAnsi="Times New Roman" w:cs="Times New Roman"/>
        </w:rPr>
        <w:t>To determine the yield of liquid fuel in various reaction conditions</w:t>
      </w:r>
      <w:r>
        <w:rPr>
          <w:rFonts w:ascii="Times New Roman" w:hAnsi="Times New Roman" w:cs="Times New Roman"/>
        </w:rPr>
        <w:t>.</w:t>
      </w:r>
      <w:proofErr w:type="gramEnd"/>
    </w:p>
    <w:p w:rsidR="0080667E" w:rsidRDefault="0080667E" w:rsidP="0080667E">
      <w:pPr>
        <w:jc w:val="both"/>
        <w:rPr>
          <w:rFonts w:ascii="Times New Roman" w:hAnsi="Times New Roman" w:cs="Times New Roman"/>
          <w:b/>
        </w:rPr>
      </w:pPr>
      <w:r w:rsidRPr="0080667E">
        <w:rPr>
          <w:rFonts w:ascii="Times New Roman" w:hAnsi="Times New Roman" w:cs="Times New Roman"/>
          <w:b/>
        </w:rPr>
        <w:t>Material and Methods</w:t>
      </w:r>
    </w:p>
    <w:p w:rsidR="0080667E" w:rsidRDefault="00CA1B45" w:rsidP="0080667E">
      <w:pPr>
        <w:jc w:val="both"/>
        <w:rPr>
          <w:rFonts w:ascii="Times New Roman" w:hAnsi="Times New Roman" w:cs="Times New Roman"/>
        </w:rPr>
      </w:pPr>
      <w:r w:rsidRPr="00CA1B45">
        <w:rPr>
          <w:rFonts w:ascii="Times New Roman" w:hAnsi="Times New Roman" w:cs="Times New Roman"/>
        </w:rPr>
        <w:t>The experiments were conducted using a fixed – bed reactor in a batch process at atmospheric pressure. The height and inside diameter of the reactor were 558 and 152 mm respectively. Two fluids nozzle was us</w:t>
      </w:r>
      <w:r>
        <w:rPr>
          <w:rFonts w:ascii="Times New Roman" w:hAnsi="Times New Roman" w:cs="Times New Roman"/>
        </w:rPr>
        <w:t xml:space="preserve">ed in the evaporator. </w:t>
      </w:r>
      <w:proofErr w:type="spellStart"/>
      <w:r>
        <w:rPr>
          <w:rFonts w:ascii="Times New Roman" w:hAnsi="Times New Roman" w:cs="Times New Roman"/>
        </w:rPr>
        <w:t>CoMo</w:t>
      </w:r>
      <w:proofErr w:type="spellEnd"/>
      <w:r>
        <w:rPr>
          <w:rFonts w:ascii="Times New Roman" w:hAnsi="Times New Roman" w:cs="Times New Roman"/>
        </w:rPr>
        <w:t>/Al</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3</w:t>
      </w:r>
      <w:r w:rsidRPr="00CA1B45">
        <w:rPr>
          <w:rFonts w:ascii="Times New Roman" w:hAnsi="Times New Roman" w:cs="Times New Roman"/>
        </w:rPr>
        <w:t xml:space="preserve"> catalyst w</w:t>
      </w:r>
      <w:r>
        <w:rPr>
          <w:rFonts w:ascii="Times New Roman" w:hAnsi="Times New Roman" w:cs="Times New Roman"/>
        </w:rPr>
        <w:t>as used in this study.  Figure 1</w:t>
      </w:r>
      <w:r w:rsidR="00CE5828">
        <w:rPr>
          <w:rFonts w:ascii="Times New Roman" w:hAnsi="Times New Roman" w:cs="Times New Roman"/>
        </w:rPr>
        <w:t>.1</w:t>
      </w:r>
      <w:r w:rsidRPr="00CA1B45">
        <w:rPr>
          <w:rFonts w:ascii="Times New Roman" w:hAnsi="Times New Roman" w:cs="Times New Roman"/>
        </w:rPr>
        <w:t xml:space="preserve"> showed the schematic diagram of experimental apparatus. This unit consists of burner, fixed – bed reactor, thermocouple to control the top and bottom temperature, feeder machine to supply the specified amount of feedstock into the reactor, gas flow meters to supply gases such as hydrogen, nitrogen and hydrogen sulfide, liquid collector to trap total liquid products, dry test gas meter and gas collection bag.</w:t>
      </w:r>
    </w:p>
    <w:p w:rsidR="00CE5828" w:rsidRDefault="00CE5828" w:rsidP="00CE5828">
      <w:pPr>
        <w:jc w:val="center"/>
        <w:rPr>
          <w:rFonts w:ascii="Times New Roman" w:hAnsi="Times New Roman" w:cs="Times New Roman"/>
        </w:rPr>
      </w:pPr>
      <w:r>
        <w:rPr>
          <w:rFonts w:ascii="Times New Roman" w:hAnsi="Times New Roman" w:cs="Times New Roman"/>
          <w:noProof/>
        </w:rPr>
        <w:drawing>
          <wp:inline distT="0" distB="0" distL="0" distR="0" wp14:anchorId="78A3861A">
            <wp:extent cx="5600700" cy="1704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8955" cy="1707488"/>
                    </a:xfrm>
                    <a:prstGeom prst="rect">
                      <a:avLst/>
                    </a:prstGeom>
                    <a:noFill/>
                  </pic:spPr>
                </pic:pic>
              </a:graphicData>
            </a:graphic>
          </wp:inline>
        </w:drawing>
      </w:r>
    </w:p>
    <w:p w:rsidR="00CE5828" w:rsidRDefault="00CE5828" w:rsidP="00CE5828">
      <w:pPr>
        <w:jc w:val="center"/>
        <w:rPr>
          <w:rFonts w:ascii="Times New Roman" w:hAnsi="Times New Roman" w:cs="Times New Roman"/>
          <w:b/>
        </w:rPr>
      </w:pPr>
      <w:r w:rsidRPr="00CE5828">
        <w:rPr>
          <w:rFonts w:ascii="Times New Roman" w:hAnsi="Times New Roman" w:cs="Times New Roman"/>
          <w:b/>
        </w:rPr>
        <w:t>Figure 1.1, Schematic diagram of experimental apparatus</w:t>
      </w:r>
    </w:p>
    <w:p w:rsidR="00CE5828" w:rsidRDefault="00A46481" w:rsidP="00A46481">
      <w:pPr>
        <w:rPr>
          <w:rFonts w:ascii="Times New Roman" w:hAnsi="Times New Roman" w:cs="Times New Roman"/>
          <w:b/>
        </w:rPr>
      </w:pPr>
      <w:r>
        <w:rPr>
          <w:rFonts w:ascii="Times New Roman" w:hAnsi="Times New Roman" w:cs="Times New Roman"/>
          <w:b/>
        </w:rPr>
        <w:t>Results and Conclusions</w:t>
      </w:r>
    </w:p>
    <w:p w:rsidR="00833362" w:rsidRDefault="00833362" w:rsidP="00A46481">
      <w:pPr>
        <w:jc w:val="both"/>
        <w:rPr>
          <w:rFonts w:ascii="Times New Roman" w:hAnsi="Times New Roman" w:cs="Times New Roman"/>
        </w:rPr>
      </w:pPr>
      <w:r>
        <w:rPr>
          <w:rFonts w:ascii="Times New Roman" w:hAnsi="Times New Roman" w:cs="Times New Roman"/>
        </w:rPr>
        <w:t>Table 1.1</w:t>
      </w:r>
      <w:r w:rsidR="00A46481" w:rsidRPr="00A46481">
        <w:rPr>
          <w:rFonts w:ascii="Times New Roman" w:hAnsi="Times New Roman" w:cs="Times New Roman"/>
        </w:rPr>
        <w:t xml:space="preserve"> showed liquid production experiments under an appropr</w:t>
      </w:r>
      <w:r>
        <w:rPr>
          <w:rFonts w:ascii="Times New Roman" w:hAnsi="Times New Roman" w:cs="Times New Roman"/>
        </w:rPr>
        <w:t xml:space="preserve">iate operation results. </w:t>
      </w:r>
    </w:p>
    <w:p w:rsidR="00A46481" w:rsidRPr="00833362" w:rsidRDefault="00833362" w:rsidP="00833362">
      <w:pPr>
        <w:jc w:val="center"/>
        <w:rPr>
          <w:rFonts w:ascii="Times New Roman" w:hAnsi="Times New Roman" w:cs="Times New Roman"/>
          <w:b/>
        </w:rPr>
      </w:pPr>
      <w:r w:rsidRPr="00833362">
        <w:rPr>
          <w:rFonts w:ascii="Times New Roman" w:hAnsi="Times New Roman" w:cs="Times New Roman"/>
          <w:b/>
        </w:rPr>
        <w:t xml:space="preserve">Table.1.1, </w:t>
      </w:r>
      <w:r w:rsidR="00A46481" w:rsidRPr="00833362">
        <w:rPr>
          <w:rFonts w:ascii="Times New Roman" w:hAnsi="Times New Roman" w:cs="Times New Roman"/>
          <w:b/>
        </w:rPr>
        <w:t>Liquid production experiments under an appropriate operation results</w:t>
      </w:r>
    </w:p>
    <w:tbl>
      <w:tblPr>
        <w:tblStyle w:val="TableGrid"/>
        <w:tblW w:w="0" w:type="auto"/>
        <w:tblInd w:w="198" w:type="dxa"/>
        <w:tblLook w:val="04A0" w:firstRow="1" w:lastRow="0" w:firstColumn="1" w:lastColumn="0" w:noHBand="0" w:noVBand="1"/>
      </w:tblPr>
      <w:tblGrid>
        <w:gridCol w:w="720"/>
        <w:gridCol w:w="990"/>
        <w:gridCol w:w="1683"/>
        <w:gridCol w:w="1017"/>
        <w:gridCol w:w="1260"/>
        <w:gridCol w:w="1170"/>
        <w:gridCol w:w="1170"/>
        <w:gridCol w:w="1170"/>
      </w:tblGrid>
      <w:tr w:rsidR="00E00251" w:rsidTr="00833362">
        <w:trPr>
          <w:trHeight w:val="1187"/>
        </w:trPr>
        <w:tc>
          <w:tcPr>
            <w:tcW w:w="720" w:type="dxa"/>
          </w:tcPr>
          <w:p w:rsidR="00E00251" w:rsidRDefault="00E00251" w:rsidP="00617B22">
            <w:pPr>
              <w:spacing w:line="360" w:lineRule="auto"/>
              <w:jc w:val="both"/>
              <w:rPr>
                <w:rFonts w:ascii="Arial" w:hAnsi="Arial" w:cs="Arial"/>
                <w:lang w:eastAsia="ja-JP"/>
              </w:rPr>
            </w:pPr>
            <w:proofErr w:type="spellStart"/>
            <w:r w:rsidRPr="007D1E07">
              <w:rPr>
                <w:rFonts w:ascii="Arial" w:hAnsi="Arial" w:cs="Arial"/>
                <w:b/>
                <w:lang w:eastAsia="ja-JP"/>
              </w:rPr>
              <w:t>Exp</w:t>
            </w:r>
            <w:proofErr w:type="spellEnd"/>
            <w:r w:rsidRPr="007D1E07">
              <w:rPr>
                <w:rFonts w:ascii="Arial" w:hAnsi="Arial" w:cs="Arial"/>
                <w:b/>
                <w:lang w:eastAsia="ja-JP"/>
              </w:rPr>
              <w:t>: No.</w:t>
            </w:r>
          </w:p>
        </w:tc>
        <w:tc>
          <w:tcPr>
            <w:tcW w:w="990" w:type="dxa"/>
          </w:tcPr>
          <w:p w:rsidR="00E00251" w:rsidRPr="000364F7" w:rsidRDefault="00E00251" w:rsidP="00617B22">
            <w:pPr>
              <w:spacing w:line="360" w:lineRule="auto"/>
              <w:jc w:val="both"/>
              <w:rPr>
                <w:rFonts w:ascii="Arial" w:hAnsi="Arial" w:cs="Arial"/>
                <w:lang w:eastAsia="ja-JP"/>
              </w:rPr>
            </w:pPr>
            <w:r w:rsidRPr="000364F7">
              <w:rPr>
                <w:rFonts w:ascii="Arial" w:hAnsi="Arial" w:cs="Arial"/>
                <w:b/>
                <w:bCs/>
                <w:lang w:eastAsia="ja-JP"/>
              </w:rPr>
              <w:t xml:space="preserve">Oil yield,    </w:t>
            </w:r>
            <w:proofErr w:type="spellStart"/>
            <w:r w:rsidRPr="000364F7">
              <w:rPr>
                <w:rFonts w:ascii="Arial" w:hAnsi="Arial" w:cs="Arial"/>
                <w:b/>
                <w:bCs/>
                <w:lang w:eastAsia="ja-JP"/>
              </w:rPr>
              <w:t>wt</w:t>
            </w:r>
            <w:proofErr w:type="spellEnd"/>
            <w:r w:rsidRPr="000364F7">
              <w:rPr>
                <w:rFonts w:ascii="Arial" w:hAnsi="Arial" w:cs="Arial"/>
                <w:b/>
                <w:bCs/>
                <w:lang w:eastAsia="ja-JP"/>
              </w:rPr>
              <w:t>%</w:t>
            </w:r>
          </w:p>
          <w:p w:rsidR="00E00251" w:rsidRDefault="00E00251" w:rsidP="00617B22">
            <w:pPr>
              <w:spacing w:line="360" w:lineRule="auto"/>
              <w:jc w:val="both"/>
              <w:rPr>
                <w:rFonts w:ascii="Arial" w:hAnsi="Arial" w:cs="Arial"/>
                <w:lang w:eastAsia="ja-JP"/>
              </w:rPr>
            </w:pPr>
          </w:p>
        </w:tc>
        <w:tc>
          <w:tcPr>
            <w:tcW w:w="1683" w:type="dxa"/>
          </w:tcPr>
          <w:p w:rsidR="00E00251" w:rsidRPr="00BC60E1" w:rsidRDefault="00E00251" w:rsidP="00617B22">
            <w:pPr>
              <w:spacing w:line="360" w:lineRule="auto"/>
              <w:jc w:val="both"/>
              <w:rPr>
                <w:rFonts w:ascii="Arial" w:hAnsi="Arial" w:cs="Arial"/>
                <w:sz w:val="18"/>
                <w:szCs w:val="18"/>
                <w:lang w:eastAsia="ja-JP"/>
              </w:rPr>
            </w:pPr>
            <w:r w:rsidRPr="00BC60E1">
              <w:rPr>
                <w:rFonts w:ascii="Arial" w:hAnsi="Arial" w:cs="Arial"/>
                <w:b/>
                <w:bCs/>
                <w:sz w:val="18"/>
                <w:szCs w:val="18"/>
                <w:lang w:eastAsia="ja-JP"/>
              </w:rPr>
              <w:t xml:space="preserve">Water content in oil phase, </w:t>
            </w:r>
            <w:proofErr w:type="spellStart"/>
            <w:r w:rsidRPr="00BC60E1">
              <w:rPr>
                <w:rFonts w:ascii="Arial" w:hAnsi="Arial" w:cs="Arial"/>
                <w:b/>
                <w:bCs/>
                <w:sz w:val="18"/>
                <w:szCs w:val="18"/>
                <w:lang w:eastAsia="ja-JP"/>
              </w:rPr>
              <w:t>wt</w:t>
            </w:r>
            <w:proofErr w:type="spellEnd"/>
            <w:r w:rsidRPr="00BC60E1">
              <w:rPr>
                <w:rFonts w:ascii="Arial" w:hAnsi="Arial" w:cs="Arial"/>
                <w:b/>
                <w:bCs/>
                <w:sz w:val="18"/>
                <w:szCs w:val="18"/>
                <w:lang w:eastAsia="ja-JP"/>
              </w:rPr>
              <w:t xml:space="preserve">% </w:t>
            </w:r>
          </w:p>
          <w:p w:rsidR="00E00251" w:rsidRDefault="00E00251" w:rsidP="00617B22">
            <w:pPr>
              <w:spacing w:line="360" w:lineRule="auto"/>
              <w:jc w:val="both"/>
              <w:rPr>
                <w:rFonts w:ascii="Arial" w:hAnsi="Arial" w:cs="Arial"/>
                <w:lang w:eastAsia="ja-JP"/>
              </w:rPr>
            </w:pPr>
          </w:p>
        </w:tc>
        <w:tc>
          <w:tcPr>
            <w:tcW w:w="1017" w:type="dxa"/>
          </w:tcPr>
          <w:p w:rsidR="00E00251" w:rsidRPr="000364F7" w:rsidRDefault="00E00251" w:rsidP="00617B22">
            <w:pPr>
              <w:spacing w:line="360" w:lineRule="auto"/>
              <w:jc w:val="both"/>
              <w:rPr>
                <w:rFonts w:ascii="Arial" w:hAnsi="Arial" w:cs="Arial"/>
                <w:lang w:eastAsia="ja-JP"/>
              </w:rPr>
            </w:pPr>
            <w:r w:rsidRPr="000364F7">
              <w:rPr>
                <w:rFonts w:ascii="Arial" w:hAnsi="Arial" w:cs="Arial"/>
                <w:b/>
                <w:bCs/>
                <w:lang w:eastAsia="ja-JP"/>
              </w:rPr>
              <w:t>HHV, MJ/kg</w:t>
            </w:r>
          </w:p>
          <w:p w:rsidR="00E00251" w:rsidRDefault="00E00251" w:rsidP="00617B22">
            <w:pPr>
              <w:spacing w:line="360" w:lineRule="auto"/>
              <w:jc w:val="both"/>
              <w:rPr>
                <w:rFonts w:ascii="Arial" w:hAnsi="Arial" w:cs="Arial"/>
                <w:lang w:eastAsia="ja-JP"/>
              </w:rPr>
            </w:pPr>
          </w:p>
        </w:tc>
        <w:tc>
          <w:tcPr>
            <w:tcW w:w="1260" w:type="dxa"/>
          </w:tcPr>
          <w:p w:rsidR="00E00251" w:rsidRPr="000364F7" w:rsidRDefault="00E00251" w:rsidP="00617B22">
            <w:pPr>
              <w:spacing w:line="360" w:lineRule="auto"/>
              <w:jc w:val="both"/>
              <w:rPr>
                <w:rFonts w:ascii="Arial" w:hAnsi="Arial" w:cs="Arial"/>
                <w:lang w:eastAsia="ja-JP"/>
              </w:rPr>
            </w:pPr>
            <w:r w:rsidRPr="000364F7">
              <w:rPr>
                <w:rFonts w:ascii="Arial" w:hAnsi="Arial" w:cs="Arial"/>
                <w:b/>
                <w:bCs/>
                <w:lang w:eastAsia="ja-JP"/>
              </w:rPr>
              <w:t xml:space="preserve">Oxygen content, </w:t>
            </w:r>
            <w:proofErr w:type="spellStart"/>
            <w:r w:rsidRPr="000364F7">
              <w:rPr>
                <w:rFonts w:ascii="Arial" w:hAnsi="Arial" w:cs="Arial"/>
                <w:b/>
                <w:bCs/>
                <w:lang w:eastAsia="ja-JP"/>
              </w:rPr>
              <w:t>wt</w:t>
            </w:r>
            <w:proofErr w:type="spellEnd"/>
            <w:r w:rsidRPr="000364F7">
              <w:rPr>
                <w:rFonts w:ascii="Arial" w:hAnsi="Arial" w:cs="Arial"/>
                <w:b/>
                <w:bCs/>
                <w:lang w:eastAsia="ja-JP"/>
              </w:rPr>
              <w:t>%</w:t>
            </w:r>
          </w:p>
          <w:p w:rsidR="00E00251" w:rsidRDefault="00E00251" w:rsidP="00617B22">
            <w:pPr>
              <w:spacing w:line="360" w:lineRule="auto"/>
              <w:jc w:val="both"/>
              <w:rPr>
                <w:rFonts w:ascii="Arial" w:hAnsi="Arial" w:cs="Arial"/>
                <w:lang w:eastAsia="ja-JP"/>
              </w:rPr>
            </w:pPr>
          </w:p>
        </w:tc>
        <w:tc>
          <w:tcPr>
            <w:tcW w:w="1170" w:type="dxa"/>
          </w:tcPr>
          <w:p w:rsidR="00E00251" w:rsidRPr="000364F7" w:rsidRDefault="00E00251" w:rsidP="00617B22">
            <w:pPr>
              <w:spacing w:line="360" w:lineRule="auto"/>
              <w:jc w:val="both"/>
              <w:rPr>
                <w:rFonts w:ascii="Arial" w:hAnsi="Arial" w:cs="Arial"/>
                <w:lang w:eastAsia="ja-JP"/>
              </w:rPr>
            </w:pPr>
            <w:r w:rsidRPr="000364F7">
              <w:rPr>
                <w:rFonts w:ascii="Arial" w:hAnsi="Arial" w:cs="Arial"/>
                <w:b/>
                <w:bCs/>
                <w:lang w:eastAsia="ja-JP"/>
              </w:rPr>
              <w:t xml:space="preserve">Carbon content, </w:t>
            </w:r>
            <w:proofErr w:type="spellStart"/>
            <w:r w:rsidRPr="000364F7">
              <w:rPr>
                <w:rFonts w:ascii="Arial" w:hAnsi="Arial" w:cs="Arial"/>
                <w:b/>
                <w:bCs/>
                <w:lang w:eastAsia="ja-JP"/>
              </w:rPr>
              <w:t>wt</w:t>
            </w:r>
            <w:proofErr w:type="spellEnd"/>
            <w:r w:rsidRPr="000364F7">
              <w:rPr>
                <w:rFonts w:ascii="Arial" w:hAnsi="Arial" w:cs="Arial"/>
                <w:b/>
                <w:bCs/>
                <w:lang w:eastAsia="ja-JP"/>
              </w:rPr>
              <w:t xml:space="preserve">% </w:t>
            </w:r>
          </w:p>
          <w:p w:rsidR="00E00251" w:rsidRDefault="00E00251" w:rsidP="00617B22">
            <w:pPr>
              <w:spacing w:line="360" w:lineRule="auto"/>
              <w:jc w:val="both"/>
              <w:rPr>
                <w:rFonts w:ascii="Arial" w:hAnsi="Arial" w:cs="Arial"/>
                <w:lang w:eastAsia="ja-JP"/>
              </w:rPr>
            </w:pPr>
          </w:p>
        </w:tc>
        <w:tc>
          <w:tcPr>
            <w:tcW w:w="1170" w:type="dxa"/>
          </w:tcPr>
          <w:p w:rsidR="00E00251" w:rsidRPr="000364F7" w:rsidRDefault="00E00251" w:rsidP="00617B22">
            <w:pPr>
              <w:spacing w:line="360" w:lineRule="auto"/>
              <w:jc w:val="both"/>
              <w:rPr>
                <w:rFonts w:ascii="Arial" w:hAnsi="Arial" w:cs="Arial"/>
                <w:lang w:eastAsia="ja-JP"/>
              </w:rPr>
            </w:pPr>
            <w:r w:rsidRPr="000364F7">
              <w:rPr>
                <w:rFonts w:ascii="Arial" w:hAnsi="Arial" w:cs="Arial"/>
                <w:b/>
                <w:bCs/>
                <w:lang w:eastAsia="ja-JP"/>
              </w:rPr>
              <w:t xml:space="preserve">H/C, </w:t>
            </w:r>
            <w:proofErr w:type="spellStart"/>
            <w:r w:rsidRPr="000364F7">
              <w:rPr>
                <w:rFonts w:ascii="Arial" w:hAnsi="Arial" w:cs="Arial"/>
                <w:b/>
                <w:bCs/>
                <w:lang w:eastAsia="ja-JP"/>
              </w:rPr>
              <w:t>mol</w:t>
            </w:r>
            <w:proofErr w:type="spellEnd"/>
            <w:r w:rsidRPr="000364F7">
              <w:rPr>
                <w:rFonts w:ascii="Arial" w:hAnsi="Arial" w:cs="Arial"/>
                <w:b/>
                <w:bCs/>
                <w:lang w:eastAsia="ja-JP"/>
              </w:rPr>
              <w:t>/</w:t>
            </w:r>
            <w:proofErr w:type="spellStart"/>
            <w:r w:rsidRPr="000364F7">
              <w:rPr>
                <w:rFonts w:ascii="Arial" w:hAnsi="Arial" w:cs="Arial"/>
                <w:b/>
                <w:bCs/>
                <w:lang w:eastAsia="ja-JP"/>
              </w:rPr>
              <w:t>mol</w:t>
            </w:r>
            <w:proofErr w:type="spellEnd"/>
            <w:r w:rsidRPr="000364F7">
              <w:rPr>
                <w:rFonts w:ascii="Arial" w:hAnsi="Arial" w:cs="Arial"/>
                <w:b/>
                <w:bCs/>
                <w:lang w:eastAsia="ja-JP"/>
              </w:rPr>
              <w:t xml:space="preserve"> </w:t>
            </w:r>
          </w:p>
          <w:p w:rsidR="00E00251" w:rsidRDefault="00E00251" w:rsidP="00617B22">
            <w:pPr>
              <w:spacing w:line="360" w:lineRule="auto"/>
              <w:jc w:val="both"/>
              <w:rPr>
                <w:rFonts w:ascii="Arial" w:hAnsi="Arial" w:cs="Arial"/>
                <w:lang w:eastAsia="ja-JP"/>
              </w:rPr>
            </w:pPr>
          </w:p>
        </w:tc>
        <w:tc>
          <w:tcPr>
            <w:tcW w:w="1170" w:type="dxa"/>
          </w:tcPr>
          <w:p w:rsidR="00E00251" w:rsidRPr="000364F7" w:rsidRDefault="00E00251" w:rsidP="00617B22">
            <w:pPr>
              <w:spacing w:line="360" w:lineRule="auto"/>
              <w:jc w:val="both"/>
              <w:rPr>
                <w:rFonts w:ascii="Arial" w:hAnsi="Arial" w:cs="Arial"/>
                <w:lang w:eastAsia="ja-JP"/>
              </w:rPr>
            </w:pPr>
            <w:r w:rsidRPr="000364F7">
              <w:rPr>
                <w:rFonts w:ascii="Arial" w:hAnsi="Arial" w:cs="Arial"/>
                <w:b/>
                <w:bCs/>
                <w:lang w:eastAsia="ja-JP"/>
              </w:rPr>
              <w:t xml:space="preserve">O/C, </w:t>
            </w:r>
            <w:proofErr w:type="spellStart"/>
            <w:r w:rsidRPr="000364F7">
              <w:rPr>
                <w:rFonts w:ascii="Arial" w:hAnsi="Arial" w:cs="Arial"/>
                <w:b/>
                <w:bCs/>
                <w:lang w:eastAsia="ja-JP"/>
              </w:rPr>
              <w:t>mol</w:t>
            </w:r>
            <w:proofErr w:type="spellEnd"/>
            <w:r w:rsidRPr="000364F7">
              <w:rPr>
                <w:rFonts w:ascii="Arial" w:hAnsi="Arial" w:cs="Arial"/>
                <w:b/>
                <w:bCs/>
                <w:lang w:eastAsia="ja-JP"/>
              </w:rPr>
              <w:t>/</w:t>
            </w:r>
            <w:proofErr w:type="spellStart"/>
            <w:r w:rsidRPr="000364F7">
              <w:rPr>
                <w:rFonts w:ascii="Arial" w:hAnsi="Arial" w:cs="Arial"/>
                <w:b/>
                <w:bCs/>
                <w:lang w:eastAsia="ja-JP"/>
              </w:rPr>
              <w:t>mol</w:t>
            </w:r>
            <w:proofErr w:type="spellEnd"/>
            <w:r w:rsidRPr="000364F7">
              <w:rPr>
                <w:rFonts w:ascii="Arial" w:hAnsi="Arial" w:cs="Arial"/>
                <w:b/>
                <w:bCs/>
                <w:lang w:eastAsia="ja-JP"/>
              </w:rPr>
              <w:t xml:space="preserve"> </w:t>
            </w:r>
          </w:p>
          <w:p w:rsidR="00E00251" w:rsidRDefault="00E00251" w:rsidP="00617B22">
            <w:pPr>
              <w:spacing w:line="360" w:lineRule="auto"/>
              <w:jc w:val="both"/>
              <w:rPr>
                <w:rFonts w:ascii="Arial" w:hAnsi="Arial" w:cs="Arial"/>
                <w:lang w:eastAsia="ja-JP"/>
              </w:rPr>
            </w:pPr>
          </w:p>
        </w:tc>
      </w:tr>
      <w:tr w:rsidR="00E00251" w:rsidTr="00617B22">
        <w:trPr>
          <w:trHeight w:val="314"/>
        </w:trPr>
        <w:tc>
          <w:tcPr>
            <w:tcW w:w="720" w:type="dxa"/>
          </w:tcPr>
          <w:p w:rsidR="00E00251" w:rsidRDefault="00E00251" w:rsidP="00617B22">
            <w:pPr>
              <w:spacing w:line="360" w:lineRule="auto"/>
              <w:jc w:val="both"/>
              <w:rPr>
                <w:rFonts w:ascii="Arial" w:hAnsi="Arial" w:cs="Arial"/>
                <w:lang w:eastAsia="ja-JP"/>
              </w:rPr>
            </w:pPr>
            <w:r>
              <w:rPr>
                <w:rFonts w:ascii="Arial" w:hAnsi="Arial" w:cs="Arial" w:hint="eastAsia"/>
                <w:lang w:eastAsia="ja-JP"/>
              </w:rPr>
              <w:t>1</w:t>
            </w:r>
          </w:p>
        </w:tc>
        <w:tc>
          <w:tcPr>
            <w:tcW w:w="990" w:type="dxa"/>
          </w:tcPr>
          <w:p w:rsidR="00E00251" w:rsidRDefault="00E00251" w:rsidP="00617B22">
            <w:pPr>
              <w:spacing w:line="360" w:lineRule="auto"/>
              <w:jc w:val="both"/>
              <w:rPr>
                <w:rFonts w:ascii="Arial" w:hAnsi="Arial" w:cs="Arial"/>
                <w:lang w:eastAsia="ja-JP"/>
              </w:rPr>
            </w:pPr>
            <w:r>
              <w:rPr>
                <w:rFonts w:ascii="Arial" w:hAnsi="Arial" w:cs="Arial" w:hint="eastAsia"/>
                <w:lang w:eastAsia="ja-JP"/>
              </w:rPr>
              <w:t>4</w:t>
            </w:r>
          </w:p>
        </w:tc>
        <w:tc>
          <w:tcPr>
            <w:tcW w:w="1683" w:type="dxa"/>
          </w:tcPr>
          <w:p w:rsidR="00E00251" w:rsidRDefault="00E00251" w:rsidP="00617B22">
            <w:pPr>
              <w:spacing w:line="360" w:lineRule="auto"/>
              <w:jc w:val="both"/>
              <w:rPr>
                <w:rFonts w:ascii="Arial" w:hAnsi="Arial" w:cs="Arial"/>
                <w:lang w:eastAsia="ja-JP"/>
              </w:rPr>
            </w:pPr>
            <w:r>
              <w:rPr>
                <w:rFonts w:ascii="Arial" w:hAnsi="Arial" w:cs="Arial" w:hint="eastAsia"/>
                <w:lang w:eastAsia="ja-JP"/>
              </w:rPr>
              <w:t>1.6</w:t>
            </w:r>
          </w:p>
        </w:tc>
        <w:tc>
          <w:tcPr>
            <w:tcW w:w="1017" w:type="dxa"/>
          </w:tcPr>
          <w:p w:rsidR="00E00251" w:rsidRDefault="00E00251" w:rsidP="00617B22">
            <w:pPr>
              <w:spacing w:line="360" w:lineRule="auto"/>
              <w:jc w:val="both"/>
              <w:rPr>
                <w:rFonts w:ascii="Arial" w:hAnsi="Arial" w:cs="Arial"/>
                <w:lang w:eastAsia="ja-JP"/>
              </w:rPr>
            </w:pPr>
            <w:r>
              <w:rPr>
                <w:rFonts w:ascii="Arial" w:hAnsi="Arial" w:cs="Arial" w:hint="eastAsia"/>
                <w:lang w:eastAsia="ja-JP"/>
              </w:rPr>
              <w:t>36.7</w:t>
            </w:r>
          </w:p>
        </w:tc>
        <w:tc>
          <w:tcPr>
            <w:tcW w:w="1260" w:type="dxa"/>
          </w:tcPr>
          <w:p w:rsidR="00E00251" w:rsidRDefault="00E00251" w:rsidP="00617B22">
            <w:pPr>
              <w:spacing w:line="360" w:lineRule="auto"/>
              <w:jc w:val="both"/>
              <w:rPr>
                <w:rFonts w:ascii="Arial" w:hAnsi="Arial" w:cs="Arial"/>
                <w:lang w:eastAsia="ja-JP"/>
              </w:rPr>
            </w:pPr>
            <w:r>
              <w:rPr>
                <w:rFonts w:ascii="Arial" w:hAnsi="Arial" w:cs="Arial" w:hint="eastAsia"/>
                <w:lang w:eastAsia="ja-JP"/>
              </w:rPr>
              <w:t>9.66</w:t>
            </w:r>
          </w:p>
        </w:tc>
        <w:tc>
          <w:tcPr>
            <w:tcW w:w="1170" w:type="dxa"/>
          </w:tcPr>
          <w:p w:rsidR="00E00251" w:rsidRDefault="00E00251" w:rsidP="00617B22">
            <w:pPr>
              <w:spacing w:line="360" w:lineRule="auto"/>
              <w:jc w:val="both"/>
              <w:rPr>
                <w:rFonts w:ascii="Arial" w:hAnsi="Arial" w:cs="Arial"/>
                <w:lang w:eastAsia="ja-JP"/>
              </w:rPr>
            </w:pPr>
            <w:r>
              <w:rPr>
                <w:rFonts w:ascii="Arial" w:hAnsi="Arial" w:cs="Arial" w:hint="eastAsia"/>
                <w:lang w:eastAsia="ja-JP"/>
              </w:rPr>
              <w:t>83.06</w:t>
            </w:r>
          </w:p>
        </w:tc>
        <w:tc>
          <w:tcPr>
            <w:tcW w:w="1170" w:type="dxa"/>
          </w:tcPr>
          <w:p w:rsidR="00E00251" w:rsidRDefault="00E00251" w:rsidP="00617B22">
            <w:pPr>
              <w:spacing w:line="360" w:lineRule="auto"/>
              <w:jc w:val="both"/>
              <w:rPr>
                <w:rFonts w:ascii="Arial" w:hAnsi="Arial" w:cs="Arial"/>
                <w:lang w:eastAsia="ja-JP"/>
              </w:rPr>
            </w:pPr>
            <w:r>
              <w:rPr>
                <w:rFonts w:ascii="Arial" w:hAnsi="Arial" w:cs="Arial" w:hint="eastAsia"/>
                <w:lang w:eastAsia="ja-JP"/>
              </w:rPr>
              <w:t>1.0</w:t>
            </w:r>
          </w:p>
        </w:tc>
        <w:tc>
          <w:tcPr>
            <w:tcW w:w="1170" w:type="dxa"/>
          </w:tcPr>
          <w:p w:rsidR="00E00251" w:rsidRDefault="00E00251" w:rsidP="00617B22">
            <w:pPr>
              <w:spacing w:line="360" w:lineRule="auto"/>
              <w:jc w:val="both"/>
              <w:rPr>
                <w:rFonts w:ascii="Arial" w:hAnsi="Arial" w:cs="Arial"/>
                <w:lang w:eastAsia="ja-JP"/>
              </w:rPr>
            </w:pPr>
            <w:r>
              <w:rPr>
                <w:rFonts w:ascii="Arial" w:hAnsi="Arial" w:cs="Arial" w:hint="eastAsia"/>
                <w:lang w:eastAsia="ja-JP"/>
              </w:rPr>
              <w:t>0.1</w:t>
            </w:r>
          </w:p>
        </w:tc>
      </w:tr>
      <w:tr w:rsidR="00E00251" w:rsidTr="00617B22">
        <w:tc>
          <w:tcPr>
            <w:tcW w:w="720" w:type="dxa"/>
          </w:tcPr>
          <w:p w:rsidR="00E00251" w:rsidRDefault="00E00251" w:rsidP="00617B22">
            <w:pPr>
              <w:spacing w:line="360" w:lineRule="auto"/>
              <w:jc w:val="both"/>
              <w:rPr>
                <w:rFonts w:ascii="Arial" w:hAnsi="Arial" w:cs="Arial"/>
                <w:lang w:eastAsia="ja-JP"/>
              </w:rPr>
            </w:pPr>
            <w:r>
              <w:rPr>
                <w:rFonts w:ascii="Arial" w:hAnsi="Arial" w:cs="Arial" w:hint="eastAsia"/>
                <w:lang w:eastAsia="ja-JP"/>
              </w:rPr>
              <w:t>2</w:t>
            </w:r>
          </w:p>
        </w:tc>
        <w:tc>
          <w:tcPr>
            <w:tcW w:w="990" w:type="dxa"/>
          </w:tcPr>
          <w:p w:rsidR="00E00251" w:rsidRDefault="00E00251" w:rsidP="00617B22">
            <w:pPr>
              <w:spacing w:line="360" w:lineRule="auto"/>
              <w:jc w:val="both"/>
              <w:rPr>
                <w:rFonts w:ascii="Arial" w:hAnsi="Arial" w:cs="Arial"/>
                <w:lang w:eastAsia="ja-JP"/>
              </w:rPr>
            </w:pPr>
            <w:r>
              <w:rPr>
                <w:rFonts w:ascii="Arial" w:hAnsi="Arial" w:cs="Arial" w:hint="eastAsia"/>
                <w:lang w:eastAsia="ja-JP"/>
              </w:rPr>
              <w:t>13</w:t>
            </w:r>
          </w:p>
        </w:tc>
        <w:tc>
          <w:tcPr>
            <w:tcW w:w="1683" w:type="dxa"/>
          </w:tcPr>
          <w:p w:rsidR="00E00251" w:rsidRDefault="00E00251" w:rsidP="00617B22">
            <w:pPr>
              <w:spacing w:line="360" w:lineRule="auto"/>
              <w:jc w:val="both"/>
              <w:rPr>
                <w:rFonts w:ascii="Arial" w:hAnsi="Arial" w:cs="Arial"/>
                <w:lang w:eastAsia="ja-JP"/>
              </w:rPr>
            </w:pPr>
            <w:r>
              <w:rPr>
                <w:rFonts w:ascii="Arial" w:hAnsi="Arial" w:cs="Arial" w:hint="eastAsia"/>
                <w:lang w:eastAsia="ja-JP"/>
              </w:rPr>
              <w:t>1.5</w:t>
            </w:r>
          </w:p>
        </w:tc>
        <w:tc>
          <w:tcPr>
            <w:tcW w:w="1017" w:type="dxa"/>
          </w:tcPr>
          <w:p w:rsidR="00E00251" w:rsidRDefault="00E00251" w:rsidP="00617B22">
            <w:pPr>
              <w:spacing w:line="360" w:lineRule="auto"/>
              <w:jc w:val="both"/>
              <w:rPr>
                <w:rFonts w:ascii="Arial" w:hAnsi="Arial" w:cs="Arial"/>
                <w:lang w:eastAsia="ja-JP"/>
              </w:rPr>
            </w:pPr>
            <w:r>
              <w:rPr>
                <w:rFonts w:ascii="Arial" w:hAnsi="Arial" w:cs="Arial" w:hint="eastAsia"/>
                <w:lang w:eastAsia="ja-JP"/>
              </w:rPr>
              <w:t>39.8</w:t>
            </w:r>
          </w:p>
        </w:tc>
        <w:tc>
          <w:tcPr>
            <w:tcW w:w="1260" w:type="dxa"/>
          </w:tcPr>
          <w:p w:rsidR="00E00251" w:rsidRDefault="00E00251" w:rsidP="00617B22">
            <w:pPr>
              <w:spacing w:line="360" w:lineRule="auto"/>
              <w:jc w:val="both"/>
              <w:rPr>
                <w:rFonts w:ascii="Arial" w:hAnsi="Arial" w:cs="Arial"/>
                <w:lang w:eastAsia="ja-JP"/>
              </w:rPr>
            </w:pPr>
            <w:r>
              <w:rPr>
                <w:rFonts w:ascii="Arial" w:hAnsi="Arial" w:cs="Arial" w:hint="eastAsia"/>
                <w:lang w:eastAsia="ja-JP"/>
              </w:rPr>
              <w:t>4.48</w:t>
            </w:r>
          </w:p>
        </w:tc>
        <w:tc>
          <w:tcPr>
            <w:tcW w:w="1170" w:type="dxa"/>
          </w:tcPr>
          <w:p w:rsidR="00E00251" w:rsidRDefault="00E00251" w:rsidP="00617B22">
            <w:pPr>
              <w:spacing w:line="360" w:lineRule="auto"/>
              <w:jc w:val="both"/>
              <w:rPr>
                <w:rFonts w:ascii="Arial" w:hAnsi="Arial" w:cs="Arial"/>
                <w:lang w:eastAsia="ja-JP"/>
              </w:rPr>
            </w:pPr>
            <w:r>
              <w:rPr>
                <w:rFonts w:ascii="Arial" w:hAnsi="Arial" w:cs="Arial" w:hint="eastAsia"/>
                <w:lang w:eastAsia="ja-JP"/>
              </w:rPr>
              <w:t>88.02</w:t>
            </w:r>
          </w:p>
        </w:tc>
        <w:tc>
          <w:tcPr>
            <w:tcW w:w="1170" w:type="dxa"/>
          </w:tcPr>
          <w:p w:rsidR="00E00251" w:rsidRDefault="00E00251" w:rsidP="00617B22">
            <w:pPr>
              <w:spacing w:line="360" w:lineRule="auto"/>
              <w:jc w:val="both"/>
              <w:rPr>
                <w:rFonts w:ascii="Arial" w:hAnsi="Arial" w:cs="Arial"/>
                <w:lang w:eastAsia="ja-JP"/>
              </w:rPr>
            </w:pPr>
            <w:r>
              <w:rPr>
                <w:rFonts w:ascii="Arial" w:hAnsi="Arial" w:cs="Arial" w:hint="eastAsia"/>
                <w:lang w:eastAsia="ja-JP"/>
              </w:rPr>
              <w:t>1.0</w:t>
            </w:r>
          </w:p>
        </w:tc>
        <w:tc>
          <w:tcPr>
            <w:tcW w:w="1170" w:type="dxa"/>
          </w:tcPr>
          <w:p w:rsidR="00E00251" w:rsidRDefault="00E00251" w:rsidP="00617B22">
            <w:pPr>
              <w:spacing w:line="360" w:lineRule="auto"/>
              <w:jc w:val="both"/>
              <w:rPr>
                <w:rFonts w:ascii="Arial" w:hAnsi="Arial" w:cs="Arial"/>
                <w:lang w:eastAsia="ja-JP"/>
              </w:rPr>
            </w:pPr>
            <w:r>
              <w:rPr>
                <w:rFonts w:ascii="Arial" w:hAnsi="Arial" w:cs="Arial" w:hint="eastAsia"/>
                <w:lang w:eastAsia="ja-JP"/>
              </w:rPr>
              <w:t>0.0</w:t>
            </w:r>
          </w:p>
        </w:tc>
      </w:tr>
      <w:tr w:rsidR="00E00251" w:rsidTr="00617B22">
        <w:tc>
          <w:tcPr>
            <w:tcW w:w="720" w:type="dxa"/>
          </w:tcPr>
          <w:p w:rsidR="00E00251" w:rsidRDefault="00E00251" w:rsidP="00617B22">
            <w:pPr>
              <w:spacing w:line="360" w:lineRule="auto"/>
              <w:jc w:val="both"/>
              <w:rPr>
                <w:rFonts w:ascii="Arial" w:hAnsi="Arial" w:cs="Arial"/>
                <w:lang w:eastAsia="ja-JP"/>
              </w:rPr>
            </w:pPr>
            <w:r>
              <w:rPr>
                <w:rFonts w:ascii="Arial" w:hAnsi="Arial" w:cs="Arial" w:hint="eastAsia"/>
                <w:lang w:eastAsia="ja-JP"/>
              </w:rPr>
              <w:t>3</w:t>
            </w:r>
          </w:p>
        </w:tc>
        <w:tc>
          <w:tcPr>
            <w:tcW w:w="990" w:type="dxa"/>
          </w:tcPr>
          <w:p w:rsidR="00E00251" w:rsidRDefault="00E00251" w:rsidP="00617B22">
            <w:pPr>
              <w:spacing w:line="360" w:lineRule="auto"/>
              <w:jc w:val="both"/>
              <w:rPr>
                <w:rFonts w:ascii="Arial" w:hAnsi="Arial" w:cs="Arial"/>
                <w:lang w:eastAsia="ja-JP"/>
              </w:rPr>
            </w:pPr>
            <w:r>
              <w:rPr>
                <w:rFonts w:ascii="Arial" w:hAnsi="Arial" w:cs="Arial" w:hint="eastAsia"/>
                <w:lang w:eastAsia="ja-JP"/>
              </w:rPr>
              <w:t>29</w:t>
            </w:r>
          </w:p>
        </w:tc>
        <w:tc>
          <w:tcPr>
            <w:tcW w:w="1683" w:type="dxa"/>
          </w:tcPr>
          <w:p w:rsidR="00E00251" w:rsidRDefault="00E00251" w:rsidP="00617B22">
            <w:pPr>
              <w:spacing w:line="360" w:lineRule="auto"/>
              <w:jc w:val="both"/>
              <w:rPr>
                <w:rFonts w:ascii="Arial" w:hAnsi="Arial" w:cs="Arial"/>
                <w:lang w:eastAsia="ja-JP"/>
              </w:rPr>
            </w:pPr>
            <w:r>
              <w:rPr>
                <w:rFonts w:ascii="Arial" w:hAnsi="Arial" w:cs="Arial" w:hint="eastAsia"/>
                <w:lang w:eastAsia="ja-JP"/>
              </w:rPr>
              <w:t>0.3</w:t>
            </w:r>
          </w:p>
        </w:tc>
        <w:tc>
          <w:tcPr>
            <w:tcW w:w="1017" w:type="dxa"/>
          </w:tcPr>
          <w:p w:rsidR="00E00251" w:rsidRDefault="00E00251" w:rsidP="00617B22">
            <w:pPr>
              <w:spacing w:line="360" w:lineRule="auto"/>
              <w:jc w:val="both"/>
              <w:rPr>
                <w:rFonts w:ascii="Arial" w:hAnsi="Arial" w:cs="Arial"/>
                <w:lang w:eastAsia="ja-JP"/>
              </w:rPr>
            </w:pPr>
            <w:r>
              <w:rPr>
                <w:rFonts w:ascii="Arial" w:hAnsi="Arial" w:cs="Arial" w:hint="eastAsia"/>
                <w:lang w:eastAsia="ja-JP"/>
              </w:rPr>
              <w:t>39.3</w:t>
            </w:r>
          </w:p>
        </w:tc>
        <w:tc>
          <w:tcPr>
            <w:tcW w:w="1260" w:type="dxa"/>
          </w:tcPr>
          <w:p w:rsidR="00E00251" w:rsidRDefault="00E00251" w:rsidP="00617B22">
            <w:pPr>
              <w:spacing w:line="360" w:lineRule="auto"/>
              <w:jc w:val="both"/>
              <w:rPr>
                <w:rFonts w:ascii="Arial" w:hAnsi="Arial" w:cs="Arial"/>
                <w:lang w:eastAsia="ja-JP"/>
              </w:rPr>
            </w:pPr>
            <w:r>
              <w:rPr>
                <w:rFonts w:ascii="Arial" w:hAnsi="Arial" w:cs="Arial" w:hint="eastAsia"/>
                <w:lang w:eastAsia="ja-JP"/>
              </w:rPr>
              <w:t>5.75</w:t>
            </w:r>
          </w:p>
        </w:tc>
        <w:tc>
          <w:tcPr>
            <w:tcW w:w="1170" w:type="dxa"/>
          </w:tcPr>
          <w:p w:rsidR="00E00251" w:rsidRDefault="00E00251" w:rsidP="00617B22">
            <w:pPr>
              <w:spacing w:line="360" w:lineRule="auto"/>
              <w:jc w:val="both"/>
              <w:rPr>
                <w:rFonts w:ascii="Arial" w:hAnsi="Arial" w:cs="Arial"/>
                <w:lang w:eastAsia="ja-JP"/>
              </w:rPr>
            </w:pPr>
            <w:r>
              <w:rPr>
                <w:rFonts w:ascii="Arial" w:hAnsi="Arial" w:cs="Arial" w:hint="eastAsia"/>
                <w:lang w:eastAsia="ja-JP"/>
              </w:rPr>
              <w:t>86.66</w:t>
            </w:r>
          </w:p>
        </w:tc>
        <w:tc>
          <w:tcPr>
            <w:tcW w:w="1170" w:type="dxa"/>
          </w:tcPr>
          <w:p w:rsidR="00E00251" w:rsidRDefault="00E00251" w:rsidP="00617B22">
            <w:pPr>
              <w:spacing w:line="360" w:lineRule="auto"/>
              <w:jc w:val="both"/>
              <w:rPr>
                <w:rFonts w:ascii="Arial" w:hAnsi="Arial" w:cs="Arial"/>
                <w:lang w:eastAsia="ja-JP"/>
              </w:rPr>
            </w:pPr>
            <w:r>
              <w:rPr>
                <w:rFonts w:ascii="Arial" w:hAnsi="Arial" w:cs="Arial" w:hint="eastAsia"/>
                <w:lang w:eastAsia="ja-JP"/>
              </w:rPr>
              <w:t>1.0</w:t>
            </w:r>
          </w:p>
        </w:tc>
        <w:tc>
          <w:tcPr>
            <w:tcW w:w="1170" w:type="dxa"/>
          </w:tcPr>
          <w:p w:rsidR="00E00251" w:rsidRDefault="00E00251" w:rsidP="00617B22">
            <w:pPr>
              <w:spacing w:line="360" w:lineRule="auto"/>
              <w:jc w:val="both"/>
              <w:rPr>
                <w:rFonts w:ascii="Arial" w:hAnsi="Arial" w:cs="Arial"/>
                <w:lang w:eastAsia="ja-JP"/>
              </w:rPr>
            </w:pPr>
            <w:r>
              <w:rPr>
                <w:rFonts w:ascii="Arial" w:hAnsi="Arial" w:cs="Arial" w:hint="eastAsia"/>
                <w:lang w:eastAsia="ja-JP"/>
              </w:rPr>
              <w:t>0.0</w:t>
            </w:r>
          </w:p>
        </w:tc>
      </w:tr>
    </w:tbl>
    <w:p w:rsidR="00A46481" w:rsidRDefault="00A46481" w:rsidP="00A46481">
      <w:pPr>
        <w:jc w:val="both"/>
        <w:rPr>
          <w:rFonts w:ascii="Times New Roman" w:hAnsi="Times New Roman" w:cs="Times New Roman"/>
        </w:rPr>
      </w:pPr>
      <w:r w:rsidRPr="00A46481">
        <w:rPr>
          <w:rFonts w:ascii="Times New Roman" w:hAnsi="Times New Roman" w:cs="Times New Roman"/>
        </w:rPr>
        <w:lastRenderedPageBreak/>
        <w:t>This research showed that the recovery of liquid fuel from heavy tar, which is organic phase of pyrolysis oil was successfully performed using a catalytic conversion. This experiment also confirmed that the temperature and reaction time have a significant effect on the distribution of product yields obtained from the catalytic conversion. A temperature of around 400 °C and longer time were found to be most suitable for catalysts to perform the de-oxygenation activity, which caused an increase in the production of water and gas. In this study, it was able to produce a high quality liquid fuel with minimum water content 0.3wt% in oil phase and maximum level of HHV (39.8MJ/kg).  The oil was also observed to have an abundant amount of aromatic compounds. Finally, we concluded that the characteristics of product oil were very close to those of gasoline and that the product oil has the potential to be used as a transportation fuel.</w:t>
      </w:r>
    </w:p>
    <w:p w:rsidR="00833362" w:rsidRPr="00833362" w:rsidRDefault="00833362" w:rsidP="00A46481">
      <w:pPr>
        <w:jc w:val="both"/>
        <w:rPr>
          <w:rFonts w:ascii="Times New Roman" w:hAnsi="Times New Roman" w:cs="Times New Roman"/>
          <w:b/>
        </w:rPr>
      </w:pPr>
      <w:r w:rsidRPr="00833362">
        <w:rPr>
          <w:rFonts w:ascii="Times New Roman" w:hAnsi="Times New Roman" w:cs="Times New Roman"/>
          <w:b/>
        </w:rPr>
        <w:t>References</w:t>
      </w:r>
    </w:p>
    <w:p w:rsidR="005433AD" w:rsidRDefault="00A539B4" w:rsidP="005D4AA9">
      <w:pPr>
        <w:jc w:val="both"/>
        <w:rPr>
          <w:rFonts w:ascii="Times New Roman" w:hAnsi="Times New Roman" w:cs="Times New Roman"/>
          <w:sz w:val="20"/>
          <w:szCs w:val="20"/>
        </w:rPr>
      </w:pPr>
      <w:proofErr w:type="spellStart"/>
      <w:proofErr w:type="gramStart"/>
      <w:r w:rsidRPr="00A539B4">
        <w:rPr>
          <w:rFonts w:ascii="Times New Roman" w:hAnsi="Times New Roman" w:cs="Times New Roman"/>
          <w:sz w:val="20"/>
          <w:szCs w:val="20"/>
        </w:rPr>
        <w:t>Adjaye</w:t>
      </w:r>
      <w:proofErr w:type="spellEnd"/>
      <w:r w:rsidRPr="00A539B4">
        <w:rPr>
          <w:rFonts w:ascii="Times New Roman" w:hAnsi="Times New Roman" w:cs="Times New Roman"/>
          <w:sz w:val="20"/>
          <w:szCs w:val="20"/>
        </w:rPr>
        <w:t xml:space="preserve">, J. D.; </w:t>
      </w:r>
      <w:proofErr w:type="spellStart"/>
      <w:r w:rsidRPr="00A539B4">
        <w:rPr>
          <w:rFonts w:ascii="Times New Roman" w:hAnsi="Times New Roman" w:cs="Times New Roman"/>
          <w:sz w:val="20"/>
          <w:szCs w:val="20"/>
        </w:rPr>
        <w:t>Bakhshi</w:t>
      </w:r>
      <w:proofErr w:type="spellEnd"/>
      <w:r w:rsidRPr="00A539B4">
        <w:rPr>
          <w:rFonts w:ascii="Times New Roman" w:hAnsi="Times New Roman" w:cs="Times New Roman"/>
          <w:sz w:val="20"/>
          <w:szCs w:val="20"/>
        </w:rPr>
        <w:t xml:space="preserve">, N. N. </w:t>
      </w:r>
      <w:r w:rsidR="006F74BE">
        <w:rPr>
          <w:rFonts w:ascii="Times New Roman" w:hAnsi="Times New Roman" w:cs="Times New Roman"/>
          <w:sz w:val="20"/>
          <w:szCs w:val="20"/>
        </w:rPr>
        <w:t>(</w:t>
      </w:r>
      <w:r w:rsidR="006F74BE" w:rsidRPr="006F74BE">
        <w:rPr>
          <w:rFonts w:ascii="Times New Roman" w:hAnsi="Times New Roman" w:cs="Times New Roman"/>
          <w:sz w:val="20"/>
          <w:szCs w:val="20"/>
        </w:rPr>
        <w:t>1995</w:t>
      </w:r>
      <w:r w:rsidR="006F74BE">
        <w:rPr>
          <w:rFonts w:ascii="Times New Roman" w:hAnsi="Times New Roman" w:cs="Times New Roman"/>
          <w:sz w:val="20"/>
          <w:szCs w:val="20"/>
        </w:rPr>
        <w:t>)</w:t>
      </w:r>
      <w:r w:rsidR="006F74BE" w:rsidRPr="006F74BE">
        <w:rPr>
          <w:rFonts w:ascii="Times New Roman" w:hAnsi="Times New Roman" w:cs="Times New Roman"/>
          <w:sz w:val="20"/>
          <w:szCs w:val="20"/>
        </w:rPr>
        <w:t xml:space="preserve">, </w:t>
      </w:r>
      <w:r w:rsidR="006F74BE">
        <w:rPr>
          <w:rFonts w:ascii="Times New Roman" w:hAnsi="Times New Roman" w:cs="Times New Roman"/>
          <w:sz w:val="20"/>
          <w:szCs w:val="20"/>
        </w:rPr>
        <w:t>Biomass Bio energy.</w:t>
      </w:r>
      <w:proofErr w:type="gramEnd"/>
      <w:r w:rsidRPr="00A539B4">
        <w:rPr>
          <w:rFonts w:ascii="Times New Roman" w:hAnsi="Times New Roman" w:cs="Times New Roman"/>
          <w:sz w:val="20"/>
          <w:szCs w:val="20"/>
        </w:rPr>
        <w:t xml:space="preserve"> 8, 131−149.</w:t>
      </w:r>
    </w:p>
    <w:p w:rsidR="00A539B4" w:rsidRDefault="00A539B4" w:rsidP="005D4AA9">
      <w:pPr>
        <w:jc w:val="both"/>
        <w:rPr>
          <w:rFonts w:ascii="Times New Roman" w:hAnsi="Times New Roman" w:cs="Times New Roman"/>
          <w:sz w:val="20"/>
          <w:szCs w:val="20"/>
        </w:rPr>
      </w:pPr>
      <w:proofErr w:type="spellStart"/>
      <w:r w:rsidRPr="00A539B4">
        <w:rPr>
          <w:rFonts w:ascii="Times New Roman" w:hAnsi="Times New Roman" w:cs="Times New Roman"/>
          <w:sz w:val="20"/>
          <w:szCs w:val="20"/>
        </w:rPr>
        <w:t>Cortright</w:t>
      </w:r>
      <w:proofErr w:type="spellEnd"/>
      <w:r w:rsidRPr="00A539B4">
        <w:rPr>
          <w:rFonts w:ascii="Times New Roman" w:hAnsi="Times New Roman" w:cs="Times New Roman"/>
          <w:sz w:val="20"/>
          <w:szCs w:val="20"/>
        </w:rPr>
        <w:t xml:space="preserve"> RD, </w:t>
      </w:r>
      <w:proofErr w:type="spellStart"/>
      <w:r w:rsidRPr="00A539B4">
        <w:rPr>
          <w:rFonts w:ascii="Times New Roman" w:hAnsi="Times New Roman" w:cs="Times New Roman"/>
          <w:sz w:val="20"/>
          <w:szCs w:val="20"/>
        </w:rPr>
        <w:t>Davda</w:t>
      </w:r>
      <w:proofErr w:type="spellEnd"/>
      <w:r w:rsidRPr="00A539B4">
        <w:rPr>
          <w:rFonts w:ascii="Times New Roman" w:hAnsi="Times New Roman" w:cs="Times New Roman"/>
          <w:sz w:val="20"/>
          <w:szCs w:val="20"/>
        </w:rPr>
        <w:t xml:space="preserve"> RR, </w:t>
      </w:r>
      <w:proofErr w:type="spellStart"/>
      <w:r w:rsidRPr="00A539B4">
        <w:rPr>
          <w:rFonts w:ascii="Times New Roman" w:hAnsi="Times New Roman" w:cs="Times New Roman"/>
          <w:sz w:val="20"/>
          <w:szCs w:val="20"/>
        </w:rPr>
        <w:t>Dumesic</w:t>
      </w:r>
      <w:proofErr w:type="spellEnd"/>
      <w:r w:rsidRPr="00A539B4">
        <w:rPr>
          <w:rFonts w:ascii="Times New Roman" w:hAnsi="Times New Roman" w:cs="Times New Roman"/>
          <w:sz w:val="20"/>
          <w:szCs w:val="20"/>
        </w:rPr>
        <w:t xml:space="preserve"> JA (2002)</w:t>
      </w:r>
      <w:r w:rsidR="006F74BE">
        <w:rPr>
          <w:rFonts w:ascii="Times New Roman" w:hAnsi="Times New Roman" w:cs="Times New Roman"/>
          <w:sz w:val="20"/>
          <w:szCs w:val="20"/>
        </w:rPr>
        <w:t>,</w:t>
      </w:r>
      <w:r w:rsidRPr="00A539B4">
        <w:rPr>
          <w:rFonts w:ascii="Times New Roman" w:hAnsi="Times New Roman" w:cs="Times New Roman"/>
          <w:sz w:val="20"/>
          <w:szCs w:val="20"/>
        </w:rPr>
        <w:t xml:space="preserve"> Hydrogen from catalytic reforming of biomass derived hydrocarbons i</w:t>
      </w:r>
      <w:r w:rsidR="006F74BE">
        <w:rPr>
          <w:rFonts w:ascii="Times New Roman" w:hAnsi="Times New Roman" w:cs="Times New Roman"/>
          <w:sz w:val="20"/>
          <w:szCs w:val="20"/>
        </w:rPr>
        <w:t xml:space="preserve">n liquid water. </w:t>
      </w:r>
      <w:proofErr w:type="gramStart"/>
      <w:r w:rsidR="006F74BE">
        <w:rPr>
          <w:rFonts w:ascii="Times New Roman" w:hAnsi="Times New Roman" w:cs="Times New Roman"/>
          <w:sz w:val="20"/>
          <w:szCs w:val="20"/>
        </w:rPr>
        <w:t>Nature.</w:t>
      </w:r>
      <w:proofErr w:type="gramEnd"/>
      <w:r w:rsidR="006F74BE">
        <w:rPr>
          <w:rFonts w:ascii="Times New Roman" w:hAnsi="Times New Roman" w:cs="Times New Roman"/>
          <w:sz w:val="20"/>
          <w:szCs w:val="20"/>
        </w:rPr>
        <w:t xml:space="preserve"> </w:t>
      </w:r>
      <w:r w:rsidRPr="00A539B4">
        <w:rPr>
          <w:rFonts w:ascii="Times New Roman" w:hAnsi="Times New Roman" w:cs="Times New Roman"/>
          <w:sz w:val="20"/>
          <w:szCs w:val="20"/>
        </w:rPr>
        <w:t xml:space="preserve">418:964–967.  </w:t>
      </w:r>
    </w:p>
    <w:p w:rsidR="00A539B4" w:rsidRDefault="00A539B4" w:rsidP="005D4AA9">
      <w:pPr>
        <w:jc w:val="both"/>
        <w:rPr>
          <w:rFonts w:ascii="Times New Roman" w:hAnsi="Times New Roman" w:cs="Times New Roman"/>
          <w:sz w:val="20"/>
          <w:szCs w:val="20"/>
        </w:rPr>
      </w:pPr>
      <w:proofErr w:type="spellStart"/>
      <w:r w:rsidRPr="00A539B4">
        <w:rPr>
          <w:rFonts w:ascii="Times New Roman" w:hAnsi="Times New Roman" w:cs="Times New Roman"/>
          <w:sz w:val="20"/>
          <w:szCs w:val="20"/>
        </w:rPr>
        <w:t>Czernik</w:t>
      </w:r>
      <w:proofErr w:type="spellEnd"/>
      <w:r w:rsidRPr="00A539B4">
        <w:rPr>
          <w:rFonts w:ascii="Times New Roman" w:hAnsi="Times New Roman" w:cs="Times New Roman"/>
          <w:sz w:val="20"/>
          <w:szCs w:val="20"/>
        </w:rPr>
        <w:t xml:space="preserve"> S, French R, </w:t>
      </w:r>
      <w:proofErr w:type="spellStart"/>
      <w:r w:rsidRPr="00A539B4">
        <w:rPr>
          <w:rFonts w:ascii="Times New Roman" w:hAnsi="Times New Roman" w:cs="Times New Roman"/>
          <w:sz w:val="20"/>
          <w:szCs w:val="20"/>
        </w:rPr>
        <w:t>Feik</w:t>
      </w:r>
      <w:proofErr w:type="spellEnd"/>
      <w:r w:rsidRPr="00A539B4">
        <w:rPr>
          <w:rFonts w:ascii="Times New Roman" w:hAnsi="Times New Roman" w:cs="Times New Roman"/>
          <w:sz w:val="20"/>
          <w:szCs w:val="20"/>
        </w:rPr>
        <w:t xml:space="preserve"> C, </w:t>
      </w:r>
      <w:proofErr w:type="spellStart"/>
      <w:r w:rsidRPr="00A539B4">
        <w:rPr>
          <w:rFonts w:ascii="Times New Roman" w:hAnsi="Times New Roman" w:cs="Times New Roman"/>
          <w:sz w:val="20"/>
          <w:szCs w:val="20"/>
        </w:rPr>
        <w:t>Chornet</w:t>
      </w:r>
      <w:proofErr w:type="spellEnd"/>
      <w:r w:rsidRPr="00A539B4">
        <w:rPr>
          <w:rFonts w:ascii="Times New Roman" w:hAnsi="Times New Roman" w:cs="Times New Roman"/>
          <w:sz w:val="20"/>
          <w:szCs w:val="20"/>
        </w:rPr>
        <w:t xml:space="preserve"> E (2002)</w:t>
      </w:r>
      <w:r w:rsidR="006F74BE">
        <w:rPr>
          <w:rFonts w:ascii="Times New Roman" w:hAnsi="Times New Roman" w:cs="Times New Roman"/>
          <w:sz w:val="20"/>
          <w:szCs w:val="20"/>
        </w:rPr>
        <w:t>,</w:t>
      </w:r>
      <w:r w:rsidRPr="00A539B4">
        <w:rPr>
          <w:rFonts w:ascii="Times New Roman" w:hAnsi="Times New Roman" w:cs="Times New Roman"/>
          <w:sz w:val="20"/>
          <w:szCs w:val="20"/>
        </w:rPr>
        <w:t xml:space="preserve"> Hydrogen by catalytic steam reforming of liquid byproducts from biomass thermo conversion processes. </w:t>
      </w:r>
      <w:proofErr w:type="spellStart"/>
      <w:r w:rsidRPr="00A539B4">
        <w:rPr>
          <w:rFonts w:ascii="Times New Roman" w:hAnsi="Times New Roman" w:cs="Times New Roman"/>
          <w:sz w:val="20"/>
          <w:szCs w:val="20"/>
        </w:rPr>
        <w:t>Ind</w:t>
      </w:r>
      <w:proofErr w:type="spellEnd"/>
      <w:r w:rsidRPr="00A539B4">
        <w:rPr>
          <w:rFonts w:ascii="Times New Roman" w:hAnsi="Times New Roman" w:cs="Times New Roman"/>
          <w:sz w:val="20"/>
          <w:szCs w:val="20"/>
        </w:rPr>
        <w:t xml:space="preserve"> </w:t>
      </w:r>
      <w:proofErr w:type="spellStart"/>
      <w:r w:rsidRPr="00A539B4">
        <w:rPr>
          <w:rFonts w:ascii="Times New Roman" w:hAnsi="Times New Roman" w:cs="Times New Roman"/>
          <w:sz w:val="20"/>
          <w:szCs w:val="20"/>
        </w:rPr>
        <w:t>Eng</w:t>
      </w:r>
      <w:proofErr w:type="spellEnd"/>
      <w:r w:rsidRPr="00A539B4">
        <w:rPr>
          <w:rFonts w:ascii="Times New Roman" w:hAnsi="Times New Roman" w:cs="Times New Roman"/>
          <w:sz w:val="20"/>
          <w:szCs w:val="20"/>
        </w:rPr>
        <w:t xml:space="preserve"> </w:t>
      </w:r>
      <w:proofErr w:type="spellStart"/>
      <w:r w:rsidRPr="00A539B4">
        <w:rPr>
          <w:rFonts w:ascii="Times New Roman" w:hAnsi="Times New Roman" w:cs="Times New Roman"/>
          <w:sz w:val="20"/>
          <w:szCs w:val="20"/>
        </w:rPr>
        <w:t>Chem</w:t>
      </w:r>
      <w:proofErr w:type="spellEnd"/>
      <w:r w:rsidRPr="00A539B4">
        <w:rPr>
          <w:rFonts w:ascii="Times New Roman" w:hAnsi="Times New Roman" w:cs="Times New Roman"/>
          <w:sz w:val="20"/>
          <w:szCs w:val="20"/>
        </w:rPr>
        <w:t xml:space="preserve"> Res 41:4209–4215.  </w:t>
      </w:r>
    </w:p>
    <w:p w:rsidR="006F74BE" w:rsidRDefault="006F74BE" w:rsidP="005D4AA9">
      <w:pPr>
        <w:jc w:val="both"/>
        <w:rPr>
          <w:rFonts w:ascii="Times New Roman" w:hAnsi="Times New Roman" w:cs="Times New Roman"/>
          <w:sz w:val="20"/>
          <w:szCs w:val="20"/>
        </w:rPr>
      </w:pPr>
      <w:proofErr w:type="gramStart"/>
      <w:r w:rsidRPr="006F74BE">
        <w:rPr>
          <w:rFonts w:ascii="Times New Roman" w:hAnsi="Times New Roman" w:cs="Times New Roman"/>
          <w:sz w:val="20"/>
          <w:szCs w:val="20"/>
        </w:rPr>
        <w:t xml:space="preserve">French, R.; </w:t>
      </w:r>
      <w:proofErr w:type="spellStart"/>
      <w:r w:rsidRPr="006F74BE">
        <w:rPr>
          <w:rFonts w:ascii="Times New Roman" w:hAnsi="Times New Roman" w:cs="Times New Roman"/>
          <w:sz w:val="20"/>
          <w:szCs w:val="20"/>
        </w:rPr>
        <w:t>Czernik</w:t>
      </w:r>
      <w:proofErr w:type="spellEnd"/>
      <w:r w:rsidRPr="006F74BE">
        <w:rPr>
          <w:rFonts w:ascii="Times New Roman" w:hAnsi="Times New Roman" w:cs="Times New Roman"/>
          <w:sz w:val="20"/>
          <w:szCs w:val="20"/>
        </w:rPr>
        <w:t xml:space="preserve">, S. </w:t>
      </w:r>
      <w:r>
        <w:rPr>
          <w:rFonts w:ascii="Times New Roman" w:hAnsi="Times New Roman" w:cs="Times New Roman"/>
          <w:sz w:val="20"/>
          <w:szCs w:val="20"/>
        </w:rPr>
        <w:t>(</w:t>
      </w:r>
      <w:r w:rsidRPr="006F74BE">
        <w:rPr>
          <w:rFonts w:ascii="Times New Roman" w:hAnsi="Times New Roman" w:cs="Times New Roman"/>
          <w:sz w:val="20"/>
          <w:szCs w:val="20"/>
        </w:rPr>
        <w:t>2010</w:t>
      </w:r>
      <w:r>
        <w:rPr>
          <w:rFonts w:ascii="Times New Roman" w:hAnsi="Times New Roman" w:cs="Times New Roman"/>
          <w:sz w:val="20"/>
          <w:szCs w:val="20"/>
        </w:rPr>
        <w:t xml:space="preserve">), Fuel </w:t>
      </w:r>
      <w:proofErr w:type="spellStart"/>
      <w:r>
        <w:rPr>
          <w:rFonts w:ascii="Times New Roman" w:hAnsi="Times New Roman" w:cs="Times New Roman"/>
          <w:sz w:val="20"/>
          <w:szCs w:val="20"/>
        </w:rPr>
        <w:t>Process.Technol</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r w:rsidRPr="006F74BE">
        <w:rPr>
          <w:rFonts w:ascii="Times New Roman" w:hAnsi="Times New Roman" w:cs="Times New Roman"/>
          <w:sz w:val="20"/>
          <w:szCs w:val="20"/>
        </w:rPr>
        <w:t>91, 25−32.</w:t>
      </w:r>
    </w:p>
    <w:p w:rsidR="006F74BE" w:rsidRDefault="006F74BE" w:rsidP="006F74BE">
      <w:pPr>
        <w:rPr>
          <w:rFonts w:ascii="Times New Roman" w:hAnsi="Times New Roman" w:cs="Times New Roman"/>
          <w:sz w:val="20"/>
          <w:szCs w:val="20"/>
        </w:rPr>
      </w:pPr>
      <w:proofErr w:type="gramStart"/>
      <w:r w:rsidRPr="006F74BE">
        <w:rPr>
          <w:rFonts w:ascii="Times New Roman" w:hAnsi="Times New Roman" w:cs="Times New Roman"/>
          <w:sz w:val="20"/>
          <w:szCs w:val="20"/>
        </w:rPr>
        <w:t xml:space="preserve">Lim, X.Y. Andre </w:t>
      </w:r>
      <w:proofErr w:type="spellStart"/>
      <w:r w:rsidRPr="006F74BE">
        <w:rPr>
          <w:rFonts w:ascii="Times New Roman" w:hAnsi="Times New Roman" w:cs="Times New Roman"/>
          <w:sz w:val="20"/>
          <w:szCs w:val="20"/>
        </w:rPr>
        <w:t>sen</w:t>
      </w:r>
      <w:proofErr w:type="spellEnd"/>
      <w:r w:rsidRPr="006F74BE">
        <w:rPr>
          <w:rFonts w:ascii="Times New Roman" w:hAnsi="Times New Roman" w:cs="Times New Roman"/>
          <w:sz w:val="20"/>
          <w:szCs w:val="20"/>
        </w:rPr>
        <w:t xml:space="preserve">, J.M. </w:t>
      </w:r>
      <w:r>
        <w:rPr>
          <w:rFonts w:ascii="Times New Roman" w:hAnsi="Times New Roman" w:cs="Times New Roman"/>
          <w:sz w:val="20"/>
          <w:szCs w:val="20"/>
        </w:rPr>
        <w:t>(</w:t>
      </w:r>
      <w:r w:rsidRPr="006F74BE">
        <w:rPr>
          <w:rFonts w:ascii="Times New Roman" w:hAnsi="Times New Roman" w:cs="Times New Roman"/>
          <w:sz w:val="20"/>
          <w:szCs w:val="20"/>
        </w:rPr>
        <w:t>2011</w:t>
      </w:r>
      <w:r>
        <w:rPr>
          <w:rFonts w:ascii="Times New Roman" w:hAnsi="Times New Roman" w:cs="Times New Roman"/>
          <w:sz w:val="20"/>
          <w:szCs w:val="20"/>
        </w:rPr>
        <w:t xml:space="preserve">), </w:t>
      </w:r>
      <w:r w:rsidRPr="006F74BE">
        <w:rPr>
          <w:rFonts w:ascii="Times New Roman" w:hAnsi="Times New Roman" w:cs="Times New Roman"/>
          <w:sz w:val="20"/>
          <w:szCs w:val="20"/>
        </w:rPr>
        <w:t>Fuel Process</w:t>
      </w:r>
      <w:r>
        <w:rPr>
          <w:rFonts w:ascii="Times New Roman" w:hAnsi="Times New Roman" w:cs="Times New Roman"/>
          <w:sz w:val="20"/>
          <w:szCs w:val="20"/>
        </w:rPr>
        <w:t>.</w:t>
      </w:r>
      <w:proofErr w:type="gramEnd"/>
      <w:r>
        <w:rPr>
          <w:rFonts w:ascii="Times New Roman" w:hAnsi="Times New Roman" w:cs="Times New Roman"/>
          <w:sz w:val="20"/>
          <w:szCs w:val="20"/>
        </w:rPr>
        <w:t xml:space="preserve"> Technol. 92, 1796-1804.</w:t>
      </w:r>
    </w:p>
    <w:p w:rsidR="006F74BE" w:rsidRDefault="006F74BE" w:rsidP="006F74BE">
      <w:pPr>
        <w:rPr>
          <w:rFonts w:ascii="Times New Roman" w:hAnsi="Times New Roman" w:cs="Times New Roman"/>
          <w:sz w:val="20"/>
          <w:szCs w:val="20"/>
        </w:rPr>
      </w:pPr>
      <w:r w:rsidRPr="006F74BE">
        <w:rPr>
          <w:rFonts w:ascii="Times New Roman" w:hAnsi="Times New Roman" w:cs="Times New Roman"/>
          <w:sz w:val="20"/>
          <w:szCs w:val="20"/>
        </w:rPr>
        <w:t xml:space="preserve">Sharma, R. K.; </w:t>
      </w:r>
      <w:proofErr w:type="spellStart"/>
      <w:r w:rsidRPr="006F74BE">
        <w:rPr>
          <w:rFonts w:ascii="Times New Roman" w:hAnsi="Times New Roman" w:cs="Times New Roman"/>
          <w:sz w:val="20"/>
          <w:szCs w:val="20"/>
        </w:rPr>
        <w:t>Bakhshi</w:t>
      </w:r>
      <w:proofErr w:type="spellEnd"/>
      <w:r w:rsidRPr="006F74BE">
        <w:rPr>
          <w:rFonts w:ascii="Times New Roman" w:hAnsi="Times New Roman" w:cs="Times New Roman"/>
          <w:sz w:val="20"/>
          <w:szCs w:val="20"/>
        </w:rPr>
        <w:t xml:space="preserve">, N. N. </w:t>
      </w:r>
      <w:r>
        <w:rPr>
          <w:rFonts w:ascii="Times New Roman" w:hAnsi="Times New Roman" w:cs="Times New Roman"/>
          <w:sz w:val="20"/>
          <w:szCs w:val="20"/>
        </w:rPr>
        <w:t>(</w:t>
      </w:r>
      <w:r w:rsidRPr="006F74BE">
        <w:rPr>
          <w:rFonts w:ascii="Times New Roman" w:hAnsi="Times New Roman" w:cs="Times New Roman"/>
          <w:sz w:val="20"/>
          <w:szCs w:val="20"/>
        </w:rPr>
        <w:t>1993</w:t>
      </w:r>
      <w:r>
        <w:rPr>
          <w:rFonts w:ascii="Times New Roman" w:hAnsi="Times New Roman" w:cs="Times New Roman"/>
          <w:sz w:val="20"/>
          <w:szCs w:val="20"/>
        </w:rPr>
        <w:t>), Energy Fuels.</w:t>
      </w:r>
      <w:bookmarkStart w:id="0" w:name="_GoBack"/>
      <w:bookmarkEnd w:id="0"/>
      <w:r w:rsidRPr="006F74BE">
        <w:rPr>
          <w:rFonts w:ascii="Times New Roman" w:hAnsi="Times New Roman" w:cs="Times New Roman"/>
          <w:sz w:val="20"/>
          <w:szCs w:val="20"/>
        </w:rPr>
        <w:t xml:space="preserve"> </w:t>
      </w:r>
      <w:proofErr w:type="gramStart"/>
      <w:r w:rsidRPr="006F74BE">
        <w:rPr>
          <w:rFonts w:ascii="Times New Roman" w:hAnsi="Times New Roman" w:cs="Times New Roman"/>
          <w:sz w:val="20"/>
          <w:szCs w:val="20"/>
        </w:rPr>
        <w:t>7, 306−314.</w:t>
      </w:r>
      <w:proofErr w:type="gramEnd"/>
    </w:p>
    <w:p w:rsidR="006F74BE" w:rsidRPr="00833362" w:rsidRDefault="006F74BE" w:rsidP="005D4AA9">
      <w:pPr>
        <w:jc w:val="both"/>
        <w:rPr>
          <w:rFonts w:ascii="Times New Roman" w:hAnsi="Times New Roman" w:cs="Times New Roman"/>
          <w:sz w:val="20"/>
          <w:szCs w:val="20"/>
        </w:rPr>
      </w:pPr>
    </w:p>
    <w:p w:rsidR="005D4AA9" w:rsidRPr="00E65379" w:rsidRDefault="005D4AA9" w:rsidP="005D4AA9">
      <w:pPr>
        <w:rPr>
          <w:rFonts w:ascii="Times New Roman" w:hAnsi="Times New Roman" w:cs="Times New Roman"/>
        </w:rPr>
      </w:pPr>
    </w:p>
    <w:sectPr w:rsidR="005D4AA9" w:rsidRPr="00E65379" w:rsidSect="009A4F64">
      <w:pgSz w:w="12240" w:h="15840"/>
      <w:pgMar w:top="2160" w:right="1296" w:bottom="2160" w:left="15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0442D2"/>
    <w:multiLevelType w:val="hybridMultilevel"/>
    <w:tmpl w:val="7B4EC7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379"/>
    <w:rsid w:val="00272F24"/>
    <w:rsid w:val="002B2A92"/>
    <w:rsid w:val="005433AD"/>
    <w:rsid w:val="005D4AA9"/>
    <w:rsid w:val="006F74BE"/>
    <w:rsid w:val="00777062"/>
    <w:rsid w:val="0080667E"/>
    <w:rsid w:val="00833362"/>
    <w:rsid w:val="00992554"/>
    <w:rsid w:val="009A4F64"/>
    <w:rsid w:val="00A46481"/>
    <w:rsid w:val="00A539B4"/>
    <w:rsid w:val="00C36A9F"/>
    <w:rsid w:val="00CA1B45"/>
    <w:rsid w:val="00CE5828"/>
    <w:rsid w:val="00E00251"/>
    <w:rsid w:val="00E65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379"/>
    <w:pPr>
      <w:ind w:left="720"/>
      <w:contextualSpacing/>
    </w:pPr>
  </w:style>
  <w:style w:type="character" w:styleId="Hyperlink">
    <w:name w:val="Hyperlink"/>
    <w:basedOn w:val="DefaultParagraphFont"/>
    <w:uiPriority w:val="99"/>
    <w:unhideWhenUsed/>
    <w:rsid w:val="00E65379"/>
    <w:rPr>
      <w:color w:val="0000FF" w:themeColor="hyperlink"/>
      <w:u w:val="single"/>
    </w:rPr>
  </w:style>
  <w:style w:type="paragraph" w:styleId="BalloonText">
    <w:name w:val="Balloon Text"/>
    <w:basedOn w:val="Normal"/>
    <w:link w:val="BalloonTextChar"/>
    <w:uiPriority w:val="99"/>
    <w:semiHidden/>
    <w:unhideWhenUsed/>
    <w:rsid w:val="00CE5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828"/>
    <w:rPr>
      <w:rFonts w:ascii="Tahoma" w:hAnsi="Tahoma" w:cs="Tahoma"/>
      <w:sz w:val="16"/>
      <w:szCs w:val="16"/>
    </w:rPr>
  </w:style>
  <w:style w:type="table" w:styleId="TableGrid">
    <w:name w:val="Table Grid"/>
    <w:basedOn w:val="TableNormal"/>
    <w:uiPriority w:val="59"/>
    <w:rsid w:val="00E00251"/>
    <w:pPr>
      <w:spacing w:after="0" w:line="240" w:lineRule="auto"/>
    </w:pPr>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379"/>
    <w:pPr>
      <w:ind w:left="720"/>
      <w:contextualSpacing/>
    </w:pPr>
  </w:style>
  <w:style w:type="character" w:styleId="Hyperlink">
    <w:name w:val="Hyperlink"/>
    <w:basedOn w:val="DefaultParagraphFont"/>
    <w:uiPriority w:val="99"/>
    <w:unhideWhenUsed/>
    <w:rsid w:val="00E65379"/>
    <w:rPr>
      <w:color w:val="0000FF" w:themeColor="hyperlink"/>
      <w:u w:val="single"/>
    </w:rPr>
  </w:style>
  <w:style w:type="paragraph" w:styleId="BalloonText">
    <w:name w:val="Balloon Text"/>
    <w:basedOn w:val="Normal"/>
    <w:link w:val="BalloonTextChar"/>
    <w:uiPriority w:val="99"/>
    <w:semiHidden/>
    <w:unhideWhenUsed/>
    <w:rsid w:val="00CE5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828"/>
    <w:rPr>
      <w:rFonts w:ascii="Tahoma" w:hAnsi="Tahoma" w:cs="Tahoma"/>
      <w:sz w:val="16"/>
      <w:szCs w:val="16"/>
    </w:rPr>
  </w:style>
  <w:style w:type="table" w:styleId="TableGrid">
    <w:name w:val="Table Grid"/>
    <w:basedOn w:val="TableNormal"/>
    <w:uiPriority w:val="59"/>
    <w:rsid w:val="00E00251"/>
    <w:pPr>
      <w:spacing w:after="0" w:line="240" w:lineRule="auto"/>
    </w:pPr>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ethandakyi@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13</cp:revision>
  <dcterms:created xsi:type="dcterms:W3CDTF">2017-06-20T13:30:00Z</dcterms:created>
  <dcterms:modified xsi:type="dcterms:W3CDTF">2017-06-21T04:24:00Z</dcterms:modified>
</cp:coreProperties>
</file>