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указывает номер первичного заказа (поле «Заказ клиента») и вносит требуемую дату производства, пункт доставки, состав заказа и файлы проекта; шесть реквизитов — конечного покупателя, нашу компанию, проект, подразделение, группу проекта и регион — система сама подставляет из 1С по этому номеру (таблица ниже). Типовой состав изделия переносится одним выбором объекта «Комплектация» — заранее оформленного в 1С шаблона с товарными позициями и файлами. Система сразу предупреждает, если такая заявка уже зарегистрирована.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автоподбор; Требуемая дата производства; Пункт доставки; Склад получатель — при «На склад компании»; состав заказа (номенклатура и количество); Файлы проекта. Необязательно — Комплектация (выбор шаблона для переноса типового состава)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покупатель, Наша компания, Проект, Подразделение, Группа проекта, Регион</w:t>
            </w:r>
          </w:p>
        </w:tc>
      </w:tr>
    </w:tbl>
    <w:p/>
    <w:p>
      <w:r>
        <w:rPr>
          <w:b/>
        </w:rPr>
        <w:t xml:space="preserve">Правила обмена с 1С (общие для всех стадий, где идёт обмен): </w:t>
      </w:r>
      <w:r/>
    </w:p>
    <w:p>
      <w:pPr>
        <w:pStyle w:val="ListBullet"/>
      </w:pPr>
      <w:r>
        <w:rPr>
          <w:b/>
        </w:rPr>
        <w:t xml:space="preserve">Ключ связи: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Формат: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 CREATE: </w:t>
      </w:r>
      <w:r>
        <w:t>повторный запрос с тем же "ID" не создаёт вторую пару документов — 1С возвращает существующие GUID и DOC_NUMBER (см. стадию 4, Согласование предоплаты).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(см. выше).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правилам обмена (стадия 0);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