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6.0 от 27.08.2026.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указывает номер первичного заказа (поле «Заказ клиента») и вносит требуемую дату производства, пункт доставки, состав заказа и файлы проекта; шесть реквизитов — конечного покупателя, нашу компанию, проект, подразделение, группу проекта и регион — система сама подставляет из 1С по этому номеру (таблица ниже). Типовой состав изделия переносится одним выбором объекта «Комплектация» — заранее оформленного в 1С шаблона с товарными позициями и файлами. Система сразу предупреждает, если такая заявка уже зарегистрирована.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автоподбор; Требуемая дата производства; Пункт доставки; Склад получатель — при «На склад компании»; состав заказа (номенклатура и количество); Файлы проекта. Необязательно — Комплектация (выбор шаблона для переноса типового состава)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покупатель, Наша компания, Проект, Подразделение, Группа проекта, Регион</w:t>
            </w:r>
          </w:p>
        </w:tc>
      </w:tr>
    </w:tbl>
    <w:p/>
    <w:p>
      <w:r>
        <w:rPr>
          <w:b/>
        </w:rPr>
        <w:t xml:space="preserve">Правила обмена с 1С (общие для всех стадий, где идёт обмен): </w:t>
      </w:r>
      <w:r/>
    </w:p>
    <w:p>
      <w:pPr>
        <w:pStyle w:val="ListBullet"/>
      </w:pPr>
      <w:r>
        <w:rPr>
          <w:b/>
        </w:rPr>
        <w:t xml:space="preserve">Ключ связи: </w:t>
      </w:r>
      <w:r>
        <w:t>реквизит авр_НомерЗаказаБитрикс = "{ID}-56". {ID} — номер сделки, как он отображается в Б24 (пример: «Сделка #127260_ЦМК» → 127260). Одинаков для ЗК и ЗП одной сделки.</w:t>
      </w:r>
    </w:p>
    <w:p>
      <w:pPr>
        <w:pStyle w:val="ListBullet"/>
      </w:pPr>
      <w:r>
        <w:rPr>
          <w:b/>
        </w:rPr>
        <w:t xml:space="preserve">Формат: </w:t>
      </w:r>
      <w:r>
        <w:t>HTTP-сервис 1С:ERP, JSON, один запрос — одна операция.</w:t>
      </w:r>
    </w:p>
    <w:p>
      <w:pPr>
        <w:pStyle w:val="ListBullet"/>
      </w:pPr>
      <w:r>
        <w:rPr>
          <w:b/>
        </w:rPr>
        <w:t xml:space="preserve">Ошибки сети / HTTP 5xx: </w:t>
      </w:r>
      <w:r>
        <w:t>3 повтора с интервалом 5 минут; после —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повторов нет; запись в историю,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 CREATE: </w:t>
      </w:r>
      <w:r>
        <w:t>повторный запрос с тем же "ID" не создаёт вторую пару документов — 1С возвращает существующие GUID и DOC_NUMBER (см. стадию 4, Согласование предоплаты).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ListBullet"/>
      </w:pPr>
      <w:r>
        <w:rPr>
          <w:b/>
        </w:rPr>
        <w:t xml:space="preserve">Справочные коды: </w:t>
      </w:r>
      <w:r>
        <w:t>DEPARTMENT / PROJECT / ACTIVITY по умолчанию в ТЗ не хардкодятся — единственный источник: таблица «ЦМК 56 Интеграция» (docs.google.com/spreadsheets/d/1F4CkdWqQgrK4q07_PsRBndQn65LLdlYzzGPVWwxqmWM), по ссылке всегда актуальная версия.</w:t>
      </w:r>
    </w:p>
    <w:p>
      <w:pPr>
        <w:pStyle w:val="ListBullet"/>
      </w:pPr>
      <w:r>
        <w:rPr>
          <w:b/>
        </w:rPr>
        <w:t xml:space="preserve">Сокращения: </w:t>
      </w:r>
      <w:r>
        <w:t>ЗК — Заказ клиента, ЗП — Заказ поставщику, РО — расходный ордер, ПБЗ — документ «Производство без заказа».</w:t>
      </w:r>
    </w:p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«Комплектация»); UF_CRM_PRIMARY_ORDER_STATUS «Статус проверки первичного ЗК» (enum: Найден / Не найден / Дубль / Не проверялся; на форму карточки НЕ выводить — техническое значение для робота).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Скрыть на карточке категории 56: дубли UF_CRM_1761221968757 («Пункт доставки»), UF_CRM_1762861520 и UF_CRM_1761222082 («Склад»); прочие неиспользуемые поля других категорий, попавшие в карточку.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DYNAMIC_ID станет известен только после создания смарт-процесса — тогда вписать его в ТЗ.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Завести справочники сопоставления БИН/GUID: склады (iblock 91), организации (iblock 107), проекты, GUID пользователей 1С для PM.</w:t>
      </w:r>
    </w:p>
    <w:p>
      <w:pPr>
        <w:tabs>
          <w:tab w:pos="403" w:val="left"/>
        </w:tabs>
        <w:ind w:left="403" w:hanging="403"/>
      </w:pPr>
      <w:r>
        <w:t>7.</w:t>
        <w:tab/>
      </w:r>
      <w:r>
        <w:t>Проверить, что поле «Подразделение ЦМК» (UF_CRM_1744896002) выведено на форму карточки категории 56.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внутри B24, без 1С: после FOUND робот ищет другие сделки категории 56 с тем же «Заказом клиента», не находящиеся на C56:LOSE. Итог пишется в скрытое поле UF_CRM_PRIMARY_ORDER_STATUS (таблица ниже). Решение по дублю принимает утверждающий на стадии 1 (ПТО. Проверка заказа).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Роли — Утверждающий (UF_CRM_1721820934), Руководитель (UF_CRM_1707998503), Руководитель/Пользователь (UF_CRM_3834411152636), ПМ (UF_CRM_1726150091) — заполняет существующий механизм B24 (цепочка Заявитель → Утверждающий → Руководитель). Ничего не делаем, поля read-only.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по «Подразделению» (UF_CRM_1690169191) заполняет Направление деятельности (UF_CRM_1744896704), Подразделение ЦМК (UF_CRM_1744896002) и PROJECT — по таблице «ЦМК 56 Интеграция» (см. выше). STOCK_IN_GUID по «Пункту доставки»: «На склад компании» (ENUM 7442) → GUID из «Склад получатель» (UF_CRM_1721821168), иначе → «Прямые поставки на объекты 7п».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те же, что в CREATE (стадия 4, Согласование предоплаты) и в таблице «ЦМК 56 Интеграция» — одно поле, одно имя.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«Дубль»: уведомление заявителю и утверждающему со ссылками на найденные сделки. Осознанный повтор (второй заказ по тому же объекту) → «Согласовать»; неоправданный → «Отменить сделку».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5)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— по правилам обмена (стадия 0);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Последний полученный процент робот сохраняет в истории сделки — он используется на стадии 9 (Закрывающие документы) при выборе следующей стадии.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Исключение — служебные поля своих стадий: Дата РТиУ (стадия 9, Закрывающие документы) и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оператору ЦМК задание «Исправить замечания»; после закрытия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сигнал стадии 5 (Предоплата)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Проверить, что «Подразделение ЦМК» (UF_CRM_1744896002) добавлено на форму карточки категории 56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