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00" w:line="280"/>
        <w:pStyle w:val="Heading2"/>
        <w:jc w:val="center"/>
      </w:pPr>
      <w:r>
        <w:rPr>
          <w:rFonts w:ascii="DejaVu Serif" w:hAnsi="DejaVu Serif"/>
          <w:sz w:val="24"/>
          <w:b/>
        </w:rPr>
        <w:t xml:space="preserve">CỘNG HÒA XÃ HỘI CHỦ NGHĨA VIỆT NAM</w:t>
      </w:r>
    </w:p>
    <w:p>
      <w:pPr>
        <w:spacing w:after="100" w:line="280"/>
        <w:jc w:val="center"/>
      </w:pPr>
      <w:r>
        <w:rPr>
          <w:rFonts w:ascii="DejaVu Serif" w:hAnsi="DejaVu Serif"/>
          <w:sz w:val="24"/>
        </w:rPr>
        <w:t xml:space="preserve">Độc lập – Tự do – Hạnh phúc</w:t>
      </w:r>
    </w:p>
    <w:p>
      <w:pPr>
        <w:spacing w:after="100" w:line="280"/>
        <w:pStyle w:val="Title"/>
        <w:jc w:val="center"/>
      </w:pPr>
      <w:r>
        <w:rPr>
          <w:rFonts w:ascii="DejaVu Serif" w:hAnsi="DejaVu Serif"/>
          <w:sz w:val="32"/>
          <w:b/>
        </w:rPr>
        <w:t xml:space="preserve">HỢP ĐỒNG HÀNG HÓA / DỊCH VỤ</w:t>
      </w:r>
    </w:p>
    <w:p>
      <w:pPr>
        <w:spacing w:after="100" w:line="280"/>
        <w:pStyle w:val="Heading2"/>
        <w:jc w:val="center"/>
      </w:pPr>
      <w:r>
        <w:rPr>
          <w:rFonts w:ascii="DejaVu Serif" w:hAnsi="DejaVu Serif"/>
          <w:sz w:val="24"/>
          <w:b/>
        </w:rPr>
        <w:t xml:space="preserve">Hợp đồng cung cấp thiết bị — 2 người ký</w:t>
      </w:r>
    </w:p>
    <w:p>
      <w:pPr>
        <w:spacing w:after="100" w:line="280"/>
        <w:jc w:val="center"/>
      </w:pPr>
      <w:r>
        <w:rPr>
          <w:rFonts w:ascii="DejaVu Serif" w:hAnsi="DejaVu Serif"/>
          <w:sz w:val="24"/>
        </w:rPr>
        <w:t xml:space="preserve">Số: DEMO-2</w:t>
      </w:r>
    </w:p>
    <w:p>
      <w:pPr>
        <w:spacing w:after="100" w:line="280"/>
        <w:pStyle w:val="Notice"/>
      </w:pPr>
      <w:r>
        <w:rPr>
          <w:rFonts w:ascii="DejaVu Serif" w:hAnsi="DejaVu Serif"/>
          <w:sz w:val="18"/>
        </w:rPr>
        <w:t xml:space="preserve">TÀI LIỆU MẪU DÙNG THỬ — CHƯA KÝ</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400"/>
        <w:gridCol w:w="7000"/>
      </w:tblGrid>
      <w:tr>
        <w:trPr>
          <w:cantSplit/>
        </w:trPr>
        <w:tc>
          <w:tcPr>
            <w:tcW w:w="2400" w:type="dxa"/>
          </w:tcPr>
          <w:p>
            <w:pPr>
              <w:spacing w:after="100" w:line="280"/>
            </w:pPr>
            <w:r>
              <w:rPr>
                <w:rFonts w:ascii="DejaVu Serif" w:hAnsi="DejaVu Serif"/>
                <w:sz w:val="24"/>
              </w:rPr>
              <w:t xml:space="preserve">BÊN MUA</w:t>
            </w:r>
          </w:p>
        </w:tc>
        <w:tc>
          <w:tcPr>
            <w:tcW w:w="7000" w:type="dxa"/>
          </w:tcPr>
          <w:p>
            <w:pPr>
              <w:spacing w:after="100" w:line="280"/>
            </w:pPr>
            <w:r>
              <w:rPr>
                <w:rFonts w:ascii="DejaVu Serif" w:hAnsi="DejaVu Serif"/>
                <w:sz w:val="24"/>
              </w:rPr>
              <w:t xml:space="preserve">Nova An Business JSC</w:t>
            </w:r>
          </w:p>
        </w:tc>
      </w:tr>
      <w:tr>
        <w:trPr>
          <w:cantSplit/>
        </w:trPr>
        <w:tc>
          <w:tcPr>
            <w:tcW w:w="2400" w:type="dxa"/>
          </w:tcPr>
          <w:p>
            <w:pPr>
              <w:spacing w:after="100" w:line="280"/>
            </w:pPr>
            <w:r>
              <w:rPr>
                <w:rFonts w:ascii="DejaVu Serif" w:hAnsi="DejaVu Serif"/>
                <w:sz w:val="24"/>
              </w:rPr>
              <w:t xml:space="preserve">NHÀ CUNG CẤP</w:t>
            </w:r>
          </w:p>
        </w:tc>
        <w:tc>
          <w:tcPr>
            <w:tcW w:w="7000" w:type="dxa"/>
          </w:tcPr>
          <w:p>
            <w:pPr>
              <w:spacing w:after="100" w:line="280"/>
            </w:pPr>
            <w:r>
              <w:rPr>
                <w:rFonts w:ascii="DejaVu Serif" w:hAnsi="DejaVu Serif"/>
                <w:sz w:val="24"/>
              </w:rPr>
              <w:t xml:space="preserve">Phú Minh Technology JSC</w:t>
            </w:r>
          </w:p>
        </w:tc>
      </w:tr>
    </w:tbl>
    <w:p>
      <w:pPr>
        <w:spacing w:after="100" w:line="280"/>
      </w:pPr>
      <w:r>
        <w:rPr>
          <w:rFonts w:ascii="DejaVu Serif" w:hAnsi="DejaVu Serif"/>
          <w:sz w:val="24"/>
        </w:rPr>
        <w:t xml:space="preserve">Các bên thống nhất nội dung hợp đồng và cơ chế ký xác nhận dưới đây.</w:t>
      </w:r>
    </w:p>
    <w:p>
      <w:pPr>
        <w:spacing w:after="100" w:line="280"/>
      </w:pPr>
      <w:r>
        <w:rPr>
          <w:rFonts w:ascii="DejaVu Serif" w:hAnsi="DejaVu Serif"/>
          <w:sz w:val="24"/>
        </w:rPr>
        <w:t xml:space="preserve">Giá trị hợp đồng: 1250.50 triệu VND</w:t>
      </w:r>
    </w:p>
    <w:p>
      <w:pPr>
        <w:spacing w:after="100" w:line="280"/>
      </w:pPr>
      <w:r>
        <w:rPr>
          <w:rFonts w:ascii="DejaVu Serif" w:hAnsi="DejaVu Serif"/>
          <w:sz w:val="24"/>
        </w:rPr>
        <w:t xml:space="preserve">Ngày bắt đầu: 2026-12-01</w:t>
      </w:r>
    </w:p>
    <w:p>
      <w:pPr>
        <w:spacing w:after="100" w:line="280"/>
      </w:pPr>
      <w:r>
        <w:rPr>
          <w:rFonts w:ascii="DejaVu Serif" w:hAnsi="DejaVu Serif"/>
          <w:sz w:val="24"/>
        </w:rPr>
        <w:t xml:space="preserve">Ngày kết thúc: 2027-12-01</w:t>
      </w:r>
    </w:p>
    <w:p>
      <w:pPr>
        <w:spacing w:after="100" w:line="280"/>
      </w:pPr>
      <w:r>
        <w:rPr>
          <w:rFonts w:ascii="DejaVu Serif" w:hAnsi="DejaVu Serif"/>
          <w:sz w:val="24"/>
        </w:rPr>
        <w:t xml:space="preserve">Ân hạn: 5 ngày</w:t>
      </w:r>
    </w:p>
    <w:p>
      <w:pPr>
        <w:spacing w:after="100" w:line="280"/>
      </w:pPr>
      <w:r>
        <w:rPr>
          <w:rFonts w:ascii="DejaVu Serif" w:hAnsi="DejaVu Serif"/>
          <w:sz w:val="24"/>
        </w:rPr>
        <w:t xml:space="preserve">Phạt trễ hạn: 0.25% mỗi ngày</w:t>
      </w:r>
    </w:p>
    <w:p>
      <w:pPr>
        <w:spacing w:after="100" w:line="280"/>
      </w:pPr>
      <w:r>
        <w:rPr>
          <w:rFonts w:ascii="DejaVu Serif" w:hAnsi="DejaVu Serif"/>
          <w:sz w:val="24"/>
        </w:rPr>
        <w:t xml:space="preserve">Trần phạt: 8.00%</w:t>
      </w:r>
    </w:p>
    <w:p>
      <w:pPr>
        <w:spacing w:after="100" w:line="280"/>
        <w:pStyle w:val="Heading1"/>
      </w:pPr>
      <w:r>
        <w:rPr>
          <w:rFonts w:ascii="DejaVu Serif" w:hAnsi="DejaVu Serif"/>
          <w:sz w:val="24"/>
          <w:b/>
        </w:rPr>
        <w:t xml:space="preserve">Điều 1. Chủ thể và mục đích</w:t>
      </w:r>
    </w:p>
    <w:p>
      <w:pPr>
        <w:spacing w:after="100" w:line="280"/>
      </w:pPr>
      <w:r>
        <w:rPr>
          <w:rFonts w:ascii="DejaVu Serif" w:hAnsi="DejaVu Serif"/>
          <w:sz w:val="24"/>
        </w:rPr>
        <w:t xml:space="preserve">Bên mua: Nova An Business JSC. Nhà cung cấp: Phú Minh Technology JSC. Số hợp đồng: DEMO-2. Các bên thống nhất thực hiện nội dung công việc và trách nhiệm theo các điều khoản dưới đây.</w:t>
      </w:r>
    </w:p>
    <w:p>
      <w:pPr>
        <w:spacing w:after="100" w:line="280"/>
        <w:pStyle w:val="Heading1"/>
      </w:pPr>
      <w:r>
        <w:rPr>
          <w:rFonts w:ascii="DejaVu Serif" w:hAnsi="DejaVu Serif"/>
          <w:sz w:val="24"/>
          <w:b/>
        </w:rPr>
        <w:t xml:space="preserve">Điều 2. Phạm vi công việc</w:t>
      </w:r>
    </w:p>
    <w:p>
      <w:pPr>
        <w:spacing w:after="100" w:line="280"/>
      </w:pPr>
      <w:r>
        <w:rPr>
          <w:rFonts w:ascii="DejaVu Serif" w:hAnsi="DejaVu Serif"/>
          <w:sz w:val="24"/>
        </w:rPr>
        <w:t xml:space="preserve">Nhà cung cấp thực hiện công việc ghi trong tên hợp đồng và từng mốc. Chỉ chứng từ thuộc đúng hợp đồng và đúng loại sự kiện mới được dùng để đánh giá.</w:t>
      </w:r>
    </w:p>
    <w:p>
      <w:pPr>
        <w:spacing w:after="100" w:line="280"/>
        <w:pStyle w:val="Heading1"/>
      </w:pPr>
      <w:r>
        <w:rPr>
          <w:rFonts w:ascii="DejaVu Serif" w:hAnsi="DejaVu Serif"/>
          <w:sz w:val="24"/>
          <w:b/>
        </w:rPr>
        <w:t xml:space="preserve">Điều 3. Giá trị hợp đồng</w:t>
      </w:r>
    </w:p>
    <w:p>
      <w:pPr>
        <w:spacing w:after="100" w:line="280"/>
      </w:pPr>
      <w:r>
        <w:rPr>
          <w:rFonts w:ascii="DejaVu Serif" w:hAnsi="DejaVu Serif"/>
          <w:sz w:val="24"/>
        </w:rPr>
        <w:t xml:space="preserve">Giá trị hợp đồng: 1250.50 triệu VND. Các khoản thanh toán được phân bổ theo tiến độ tại Điều 4. Việc thanh toán căn cứ hồ sơ bàn giao, nghiệm thu và phê duyệt theo thỏa thuận.</w:t>
      </w:r>
    </w:p>
    <w:p>
      <w:pPr>
        <w:spacing w:after="100" w:line="280"/>
        <w:pStyle w:val="Heading1"/>
      </w:pPr>
      <w:r>
        <w:rPr>
          <w:rFonts w:ascii="DejaVu Serif" w:hAnsi="DejaVu Serif"/>
          <w:sz w:val="24"/>
          <w:b/>
        </w:rPr>
        <w:t xml:space="preserve">Điều 4. Tiến độ và mốc thanh toán</w:t>
      </w:r>
    </w:p>
    <w:p>
      <w:pPr>
        <w:spacing w:after="100" w:line="280"/>
      </w:pPr>
      <w:r>
        <w:rPr>
          <w:rFonts w:ascii="DejaVu Serif" w:hAnsi="DejaVu Serif"/>
          <w:sz w:val="24"/>
        </w:rPr>
        <w:t xml:space="preserve">Các mốc dưới đây lấy từ mẫu quy trình đang cấu hình. Người rà soát phải xác nhận lại thời hạn trước khi phát hành.</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200"/>
        <w:gridCol w:w="1000"/>
        <w:gridCol w:w="1800"/>
        <w:gridCol w:w="4400"/>
      </w:tblGrid>
      <w:tr>
        <w:trPr>
          <w:cantSplit/>
        </w:trPr>
        <w:tc>
          <w:tcPr>
            <w:tcW w:w="2200" w:type="dxa"/>
            <w:shd w:fill="EEF2F7"/>
          </w:tcPr>
          <w:p>
            <w:pPr>
              <w:spacing w:after="100" w:line="280"/>
            </w:pPr>
            <w:r>
              <w:rPr>
                <w:rFonts w:ascii="DejaVu Serif" w:hAnsi="DejaVu Serif"/>
                <w:sz w:val="24"/>
              </w:rPr>
              <w:t xml:space="preserve">Mốc</w:t>
            </w:r>
          </w:p>
        </w:tc>
        <w:tc>
          <w:tcPr>
            <w:tcW w:w="1000" w:type="dxa"/>
            <w:shd w:fill="EEF2F7"/>
          </w:tcPr>
          <w:p>
            <w:pPr>
              <w:spacing w:after="100" w:line="280"/>
            </w:pPr>
            <w:r>
              <w:rPr>
                <w:rFonts w:ascii="DejaVu Serif" w:hAnsi="DejaVu Serif"/>
                <w:sz w:val="24"/>
              </w:rPr>
              <w:t xml:space="preserve">Tỷ lệ</w:t>
            </w:r>
          </w:p>
        </w:tc>
        <w:tc>
          <w:tcPr>
            <w:tcW w:w="1800" w:type="dxa"/>
            <w:shd w:fill="EEF2F7"/>
          </w:tcPr>
          <w:p>
            <w:pPr>
              <w:spacing w:after="100" w:line="280"/>
            </w:pPr>
            <w:r>
              <w:rPr>
                <w:rFonts w:ascii="DejaVu Serif" w:hAnsi="DejaVu Serif"/>
                <w:sz w:val="24"/>
              </w:rPr>
              <w:t xml:space="preserve">Thời hạn</w:t>
            </w:r>
          </w:p>
        </w:tc>
        <w:tc>
          <w:tcPr>
            <w:tcW w:w="4400" w:type="dxa"/>
            <w:shd w:fill="EEF2F7"/>
          </w:tcPr>
          <w:p>
            <w:pPr>
              <w:spacing w:after="100" w:line="280"/>
            </w:pPr>
            <w:r>
              <w:rPr>
                <w:rFonts w:ascii="DejaVu Serif" w:hAnsi="DejaVu Serif"/>
                <w:sz w:val="24"/>
              </w:rPr>
              <w:t xml:space="preserve">Hồ sơ cần có</w:t>
            </w:r>
          </w:p>
        </w:tc>
      </w:tr>
      <w:tr>
        <w:trPr>
          <w:cantSplit/>
        </w:trPr>
        <w:tc>
          <w:tcPr>
            <w:tcW w:w="2200" w:type="dxa"/>
          </w:tcPr>
          <w:p>
            <w:pPr>
              <w:spacing w:after="100" w:line="280"/>
            </w:pPr>
            <w:r>
              <w:rPr>
                <w:rFonts w:ascii="DejaVu Serif" w:hAnsi="DejaVu Serif"/>
                <w:sz w:val="24"/>
              </w:rPr>
              <w:t xml:space="preserve">Ký hợp đồng</w:t>
            </w:r>
          </w:p>
        </w:tc>
        <w:tc>
          <w:tcPr>
            <w:tcW w:w="1000" w:type="dxa"/>
          </w:tcPr>
          <w:p>
            <w:pPr>
              <w:spacing w:after="100" w:line="280"/>
            </w:pPr>
            <w:r>
              <w:rPr>
                <w:rFonts w:ascii="DejaVu Serif" w:hAnsi="DejaVu Serif"/>
                <w:sz w:val="24"/>
              </w:rPr>
              <w:t xml:space="preserve">20%</w:t>
            </w:r>
          </w:p>
        </w:tc>
        <w:tc>
          <w:tcPr>
            <w:tcW w:w="1800" w:type="dxa"/>
          </w:tcPr>
          <w:p>
            <w:pPr>
              <w:spacing w:after="100" w:line="280"/>
            </w:pPr>
            <w:r>
              <w:rPr>
                <w:rFonts w:ascii="DejaVu Serif" w:hAnsi="DejaVu Serif"/>
                <w:sz w:val="24"/>
              </w:rPr>
              <w:t xml:space="preserve">2026-12-01</w:t>
            </w:r>
          </w:p>
        </w:tc>
        <w:tc>
          <w:tcPr>
            <w:tcW w:w="4400" w:type="dxa"/>
          </w:tcPr>
          <w:p>
            <w:pPr>
              <w:spacing w:after="100" w:line="280"/>
            </w:pPr>
            <w:r>
              <w:rPr>
                <w:rFonts w:ascii="DejaVu Serif" w:hAnsi="DejaVu Serif"/>
                <w:sz w:val="24"/>
              </w:rPr>
              <w:t xml:space="preserve">Hợp đồng đã ký</w:t>
            </w:r>
          </w:p>
        </w:tc>
      </w:tr>
      <w:tr>
        <w:trPr>
          <w:cantSplit/>
        </w:trPr>
        <w:tc>
          <w:tcPr>
            <w:tcW w:w="2200" w:type="dxa"/>
          </w:tcPr>
          <w:p>
            <w:pPr>
              <w:spacing w:after="100" w:line="280"/>
            </w:pPr>
            <w:r>
              <w:rPr>
                <w:rFonts w:ascii="DejaVu Serif" w:hAnsi="DejaVu Serif"/>
                <w:sz w:val="24"/>
              </w:rPr>
              <w:t xml:space="preserve">Giao hàng</w:t>
            </w:r>
          </w:p>
        </w:tc>
        <w:tc>
          <w:tcPr>
            <w:tcW w:w="1000" w:type="dxa"/>
          </w:tcPr>
          <w:p>
            <w:pPr>
              <w:spacing w:after="100" w:line="280"/>
            </w:pPr>
            <w:r>
              <w:rPr>
                <w:rFonts w:ascii="DejaVu Serif" w:hAnsi="DejaVu Serif"/>
                <w:sz w:val="24"/>
              </w:rPr>
              <w:t xml:space="preserve">40%</w:t>
            </w:r>
          </w:p>
        </w:tc>
        <w:tc>
          <w:tcPr>
            <w:tcW w:w="1800" w:type="dxa"/>
          </w:tcPr>
          <w:p>
            <w:pPr>
              <w:spacing w:after="100" w:line="280"/>
            </w:pPr>
            <w:r>
              <w:rPr>
                <w:rFonts w:ascii="DejaVu Serif" w:hAnsi="DejaVu Serif"/>
                <w:sz w:val="24"/>
              </w:rPr>
              <w:t xml:space="preserve">2026-12-15</w:t>
            </w:r>
          </w:p>
        </w:tc>
        <w:tc>
          <w:tcPr>
            <w:tcW w:w="4400" w:type="dxa"/>
          </w:tcPr>
          <w:p>
            <w:pPr>
              <w:spacing w:after="100" w:line="280"/>
            </w:pPr>
            <w:r>
              <w:rPr>
                <w:rFonts w:ascii="DejaVu Serif" w:hAnsi="DejaVu Serif"/>
                <w:sz w:val="24"/>
              </w:rPr>
              <w:t xml:space="preserve">Biên bản bàn giao, Hóa đơn</w:t>
            </w:r>
          </w:p>
        </w:tc>
      </w:tr>
      <w:tr>
        <w:trPr>
          <w:cantSplit/>
        </w:trPr>
        <w:tc>
          <w:tcPr>
            <w:tcW w:w="2200" w:type="dxa"/>
          </w:tcPr>
          <w:p>
            <w:pPr>
              <w:spacing w:after="100" w:line="280"/>
            </w:pPr>
            <w:r>
              <w:rPr>
                <w:rFonts w:ascii="DejaVu Serif" w:hAnsi="DejaVu Serif"/>
                <w:sz w:val="24"/>
              </w:rPr>
              <w:t xml:space="preserve">Nghiệm thu</w:t>
            </w:r>
          </w:p>
        </w:tc>
        <w:tc>
          <w:tcPr>
            <w:tcW w:w="1000" w:type="dxa"/>
          </w:tcPr>
          <w:p>
            <w:pPr>
              <w:spacing w:after="100" w:line="280"/>
            </w:pPr>
            <w:r>
              <w:rPr>
                <w:rFonts w:ascii="DejaVu Serif" w:hAnsi="DejaVu Serif"/>
                <w:sz w:val="24"/>
              </w:rPr>
              <w:t xml:space="preserve">30%</w:t>
            </w:r>
          </w:p>
        </w:tc>
        <w:tc>
          <w:tcPr>
            <w:tcW w:w="1800" w:type="dxa"/>
          </w:tcPr>
          <w:p>
            <w:pPr>
              <w:spacing w:after="100" w:line="280"/>
            </w:pPr>
            <w:r>
              <w:rPr>
                <w:rFonts w:ascii="DejaVu Serif" w:hAnsi="DejaVu Serif"/>
                <w:sz w:val="24"/>
              </w:rPr>
              <w:t xml:space="preserve">2026-12-20</w:t>
            </w:r>
          </w:p>
        </w:tc>
        <w:tc>
          <w:tcPr>
            <w:tcW w:w="4400" w:type="dxa"/>
          </w:tcPr>
          <w:p>
            <w:pPr>
              <w:spacing w:after="100" w:line="280"/>
            </w:pPr>
            <w:r>
              <w:rPr>
                <w:rFonts w:ascii="DejaVu Serif" w:hAnsi="DejaVu Serif"/>
                <w:sz w:val="24"/>
              </w:rPr>
              <w:t xml:space="preserve">Biên bản nghiệm thu</w:t>
            </w:r>
          </w:p>
        </w:tc>
      </w:tr>
      <w:tr>
        <w:trPr>
          <w:cantSplit/>
        </w:trPr>
        <w:tc>
          <w:tcPr>
            <w:tcW w:w="2200" w:type="dxa"/>
          </w:tcPr>
          <w:p>
            <w:pPr>
              <w:spacing w:after="100" w:line="280"/>
            </w:pPr>
            <w:r>
              <w:rPr>
                <w:rFonts w:ascii="DejaVu Serif" w:hAnsi="DejaVu Serif"/>
                <w:sz w:val="24"/>
              </w:rPr>
              <w:t xml:space="preserve">Hoàn tất bảo hành</w:t>
            </w:r>
          </w:p>
        </w:tc>
        <w:tc>
          <w:tcPr>
            <w:tcW w:w="1000" w:type="dxa"/>
          </w:tcPr>
          <w:p>
            <w:pPr>
              <w:spacing w:after="100" w:line="280"/>
            </w:pPr>
            <w:r>
              <w:rPr>
                <w:rFonts w:ascii="DejaVu Serif" w:hAnsi="DejaVu Serif"/>
                <w:sz w:val="24"/>
              </w:rPr>
              <w:t xml:space="preserve">10%</w:t>
            </w:r>
          </w:p>
        </w:tc>
        <w:tc>
          <w:tcPr>
            <w:tcW w:w="1800" w:type="dxa"/>
          </w:tcPr>
          <w:p>
            <w:pPr>
              <w:spacing w:after="100" w:line="280"/>
            </w:pPr>
            <w:r>
              <w:rPr>
                <w:rFonts w:ascii="DejaVu Serif" w:hAnsi="DejaVu Serif"/>
                <w:sz w:val="24"/>
              </w:rPr>
              <w:t xml:space="preserve">2027-12-01</w:t>
            </w:r>
          </w:p>
        </w:tc>
        <w:tc>
          <w:tcPr>
            <w:tcW w:w="4400" w:type="dxa"/>
          </w:tcPr>
          <w:p>
            <w:pPr>
              <w:spacing w:after="100" w:line="280"/>
            </w:pPr>
            <w:r>
              <w:rPr>
                <w:rFonts w:ascii="DejaVu Serif" w:hAnsi="DejaVu Serif"/>
                <w:sz w:val="24"/>
              </w:rPr>
              <w:t xml:space="preserve">Xác nhận hoàn tất bảo hành</w:t>
            </w:r>
          </w:p>
        </w:tc>
      </w:tr>
    </w:tbl>
    <w:p>
      <w:pPr>
        <w:spacing w:after="100" w:line="280"/>
        <w:pStyle w:val="Heading1"/>
      </w:pPr>
      <w:r>
        <w:rPr>
          <w:rFonts w:ascii="DejaVu Serif" w:hAnsi="DejaVu Serif"/>
          <w:sz w:val="24"/>
          <w:b/>
        </w:rPr>
        <w:t xml:space="preserve">Điều 5. Chứng từ nghiệm thu</w:t>
      </w:r>
    </w:p>
    <w:p>
      <w:pPr>
        <w:spacing w:after="100" w:line="280"/>
      </w:pPr>
      <w:r>
        <w:rPr>
          <w:rFonts w:ascii="DejaVu Serif" w:hAnsi="DejaVu Serif"/>
          <w:sz w:val="24"/>
        </w:rPr>
        <w:t xml:space="preserve">Nhà cung cấp giao đủ hồ sơ, hóa đơn và biên bản theo từng mốc. Bên mua kiểm tra, phản hồi yêu cầu bổ sung hoặc xác nhận nghiệm thu bằng văn bản.</w:t>
      </w:r>
    </w:p>
    <w:p>
      <w:pPr>
        <w:spacing w:after="100" w:line="280"/>
        <w:pStyle w:val="Heading1"/>
      </w:pPr>
      <w:r>
        <w:rPr>
          <w:rFonts w:ascii="DejaVu Serif" w:hAnsi="DejaVu Serif"/>
          <w:sz w:val="24"/>
          <w:b/>
        </w:rPr>
        <w:t xml:space="preserve">Điều 6. Chính sách phê duyệt</w:t>
      </w:r>
    </w:p>
    <w:p>
      <w:pPr>
        <w:spacing w:after="100" w:line="280"/>
      </w:pPr>
      <w:r>
        <w:rPr>
          <w:rFonts w:ascii="DejaVu Serif" w:hAnsi="DejaVu Serif"/>
          <w:sz w:val="24"/>
        </w:rPr>
        <w:t xml:space="preserve">Các bên chỉ định người có thẩm quyền phê duyệt từng khoản thanh toán. Việc ký hợp đồng không thay thế việc kiểm tra chứng từ và phê duyệt thanh toán.</w:t>
      </w:r>
    </w:p>
    <w:p>
      <w:pPr>
        <w:spacing w:after="100" w:line="280"/>
        <w:pStyle w:val="Heading1"/>
      </w:pPr>
      <w:r>
        <w:rPr>
          <w:rFonts w:ascii="DejaVu Serif" w:hAnsi="DejaVu Serif"/>
          <w:sz w:val="24"/>
          <w:b/>
        </w:rPr>
        <w:t xml:space="preserve">Điều 7. Người ký và thứ tự ký</w:t>
      </w:r>
    </w:p>
    <w:p>
      <w:pPr>
        <w:spacing w:after="100" w:line="280"/>
      </w:pPr>
      <w:r>
        <w:rPr>
          <w:rFonts w:ascii="DejaVu Serif" w:hAnsi="DejaVu Serif"/>
          <w:sz w:val="24"/>
        </w:rPr>
        <w:t xml:space="preserve">Đại diện được chỉ định dưới đây ký lần lượt. Mỗi chữ ký gắn với tài liệu, danh tính người ký và thời gian xác nhận. Mọi thay đổi nội dung sau khi ký cần được các bên chấp thuận lại.</w:t>
      </w:r>
    </w:p>
    <w:p>
      <w:pPr>
        <w:spacing w:after="100" w:line="280"/>
      </w:pPr>
      <w:r>
        <w:rPr>
          <w:rFonts w:ascii="DejaVu Serif" w:hAnsi="DejaVu Serif"/>
          <w:sz w:val="24"/>
        </w:rPr>
        <w:t xml:space="preserve">Nhiều người ký: cần hoàn thành tất cả lượt theo thứ tự, có đại diện của hai bên.</w:t>
      </w:r>
    </w:p>
    <w:p>
      <w:pPr>
        <w:spacing w:after="100" w:line="280"/>
      </w:pPr>
      <w:r>
        <w:rPr>
          <w:rFonts w:ascii="DejaVu Serif" w:hAnsi="DejaVu Serif"/>
          <w:sz w:val="24"/>
        </w:rPr>
        <w:t xml:space="preserve">1. Nguyễn Văn An — Bên mua</w:t>
      </w:r>
    </w:p>
    <w:p>
      <w:pPr>
        <w:spacing w:after="100" w:line="280"/>
      </w:pPr>
      <w:r>
        <w:rPr>
          <w:rFonts w:ascii="DejaVu Serif" w:hAnsi="DejaVu Serif"/>
          <w:sz w:val="24"/>
        </w:rPr>
        <w:t xml:space="preserve">2. Vũ Thanh Hà — Nhà cung cấp</w:t>
      </w:r>
    </w:p>
    <w:p>
      <w:pPr>
        <w:spacing w:after="100" w:line="280"/>
        <w:pStyle w:val="Heading1"/>
      </w:pPr>
      <w:r>
        <w:rPr>
          <w:rFonts w:ascii="DejaVu Serif" w:hAnsi="DejaVu Serif"/>
          <w:sz w:val="24"/>
          <w:b/>
        </w:rPr>
        <w:t xml:space="preserve">Điều 8. Phạt chậm và ân hạn</w:t>
      </w:r>
    </w:p>
    <w:p>
      <w:pPr>
        <w:spacing w:after="100" w:line="280"/>
      </w:pPr>
      <w:r>
        <w:rPr>
          <w:rFonts w:ascii="DejaVu Serif" w:hAnsi="DejaVu Serif"/>
          <w:sz w:val="24"/>
        </w:rPr>
        <w:t xml:space="preserve">Ngày bắt đầu: 2026-12-01. Ngày kết thúc: 2027-12-01. Thời gian ân hạn: 5 ngày. Tỷ lệ phạt: 0.25% mỗi ngày.</w:t>
      </w:r>
    </w:p>
    <w:p>
      <w:pPr>
        <w:spacing w:after="100" w:line="280"/>
        <w:pStyle w:val="Heading1"/>
      </w:pPr>
      <w:r>
        <w:rPr>
          <w:rFonts w:ascii="DejaVu Serif" w:hAnsi="DejaVu Serif"/>
          <w:sz w:val="24"/>
          <w:b/>
        </w:rPr>
        <w:t xml:space="preserve">Điều 9. Giới hạn trách nhiệm</w:t>
      </w:r>
    </w:p>
    <w:p>
      <w:pPr>
        <w:spacing w:after="100" w:line="280"/>
      </w:pPr>
      <w:r>
        <w:rPr>
          <w:rFonts w:ascii="DejaVu Serif" w:hAnsi="DejaVu Serif"/>
          <w:sz w:val="24"/>
        </w:rPr>
        <w:t xml:space="preserve">Trần phạt: 8.00%. Tổng tiền phạt chậm không vượt mức thỏa thuận. Tiền thanh toán sau điều chỉnh không âm; chênh lệch cần được đối chiếu trong hồ sơ thanh toán.</w:t>
      </w:r>
    </w:p>
    <w:p>
      <w:pPr>
        <w:spacing w:after="100" w:line="280"/>
        <w:pStyle w:val="Heading1"/>
      </w:pPr>
      <w:r>
        <w:rPr>
          <w:rFonts w:ascii="DejaVu Serif" w:hAnsi="DejaVu Serif"/>
          <w:sz w:val="24"/>
          <w:b/>
        </w:rPr>
        <w:t xml:space="preserve">Điều 10. Bảo hành và hỗ trợ</w:t>
      </w:r>
    </w:p>
    <w:p>
      <w:pPr>
        <w:spacing w:after="100" w:line="280"/>
      </w:pPr>
      <w:r>
        <w:rPr>
          <w:rFonts w:ascii="DejaVu Serif" w:hAnsi="DejaVu Serif"/>
          <w:sz w:val="24"/>
        </w:rPr>
        <w:t xml:space="preserve">Nhà cung cấp tiếp nhận yêu cầu hỗ trợ và thực hiện bảo hành theo phạm vi công việc. Thời hạn và hồ sơ xác nhận hoàn tất được các bên đối chiếu ở từng mốc.</w:t>
      </w:r>
    </w:p>
    <w:p>
      <w:pPr>
        <w:spacing w:after="100" w:line="280"/>
        <w:pStyle w:val="Heading1"/>
      </w:pPr>
      <w:r>
        <w:rPr>
          <w:rFonts w:ascii="DejaVu Serif" w:hAnsi="DejaVu Serif"/>
          <w:sz w:val="24"/>
          <w:b/>
        </w:rPr>
        <w:t xml:space="preserve">Điều 11. Tranh chấp</w:t>
      </w:r>
    </w:p>
    <w:p>
      <w:pPr>
        <w:spacing w:after="100" w:line="280"/>
      </w:pPr>
      <w:r>
        <w:rPr>
          <w:rFonts w:ascii="DejaVu Serif" w:hAnsi="DejaVu Serif"/>
          <w:sz w:val="24"/>
        </w:rPr>
        <w:t xml:space="preserve">Khi có tranh chấp, các bên lập biên bản và tạm giữ khoản thanh toán liên quan. Khi có xác nhận giải quyết, các bên tiếp tục kiểm tra các điều kiện thanh toán còn lại.</w:t>
      </w:r>
    </w:p>
    <w:p>
      <w:pPr>
        <w:spacing w:after="100" w:line="280"/>
        <w:pStyle w:val="Heading1"/>
      </w:pPr>
      <w:r>
        <w:rPr>
          <w:rFonts w:ascii="DejaVu Serif" w:hAnsi="DejaVu Serif"/>
          <w:sz w:val="24"/>
          <w:b/>
        </w:rPr>
        <w:t xml:space="preserve">Điều 12. Quản lý thay đổi</w:t>
      </w:r>
    </w:p>
    <w:p>
      <w:pPr>
        <w:spacing w:after="100" w:line="280"/>
      </w:pPr>
      <w:r>
        <w:rPr>
          <w:rFonts w:ascii="DejaVu Serif" w:hAnsi="DejaVu Serif"/>
          <w:sz w:val="24"/>
        </w:rPr>
        <w:t xml:space="preserve">Thay đổi phạm vi, giá trị hoặc tiến độ phải được lập thành phụ lục, xác định người có thẩm quyền và lưu cùng bản hợp đồng được các bên xác nhận.</w:t>
      </w:r>
    </w:p>
    <w:p>
      <w:pPr>
        <w:spacing w:after="100" w:line="280"/>
        <w:pStyle w:val="Heading1"/>
      </w:pPr>
      <w:r>
        <w:rPr>
          <w:rFonts w:ascii="DejaVu Serif" w:hAnsi="DejaVu Serif"/>
          <w:sz w:val="24"/>
          <w:b/>
        </w:rPr>
        <w:t xml:space="preserve">Điều 13. Hiệu lực và lưu trữ</w:t>
      </w:r>
    </w:p>
    <w:p>
      <w:pPr>
        <w:spacing w:after="100" w:line="280"/>
      </w:pPr>
      <w:r>
        <w:rPr>
          <w:rFonts w:ascii="DejaVu Serif" w:hAnsi="DejaVu Serif"/>
          <w:sz w:val="24"/>
        </w:rPr>
        <w:t xml:space="preserve">Hợp đồng có hiệu lực sau khi hoàn tất các lượt ký đã thỏa thuận. Các bên lưu bản gốc và hồ sơ kèm theo. Tài liệu này được tạo cho thử nghiệm, chưa ký và không dùng thay hợp đồng đã được rà soát.</w:t>
      </w:r>
    </w:p>
    <w:p>
      <w:pPr>
        <w:spacing w:after="100" w:line="280"/>
        <w:pStyle w:val="Title"/>
        <w:jc w:val="center"/>
        <w:pageBreakBefore/>
      </w:pPr>
      <w:r>
        <w:rPr>
          <w:rFonts w:ascii="DejaVu Serif" w:hAnsi="DejaVu Serif"/>
          <w:sz w:val="32"/>
          <w:b/>
        </w:rPr>
        <w:t xml:space="preserve">Xác nhận và chữ ký</w:t>
      </w:r>
    </w:p>
    <w:p>
      <w:pPr>
        <w:spacing w:after="100" w:line="280"/>
      </w:pPr>
      <w:r>
        <w:rPr>
          <w:rFonts w:ascii="DejaVu Serif" w:hAnsi="DejaVu Serif"/>
          <w:sz w:val="24"/>
        </w:rPr>
        <w:t xml:space="preserve">Nhiều người ký: cần hoàn thành tất cả lượt theo thứ tự, có đại diện của hai bên.</w:t>
      </w:r>
    </w:p>
    <w:p>
      <w:pPr>
        <w:spacing w:after="100" w:line="280"/>
      </w:pPr>
      <w:r>
        <w:rPr>
          <w:rFonts w:ascii="DejaVu Serif" w:hAnsi="DejaVu Serif"/>
          <w:sz w:val="24"/>
        </w:rPr>
        <w:t xml:space="preserve">Đối chiếu toàn bộ tài liệu trước khi ký. Vùng trống bên dưới dành cho chữ ký; họ tên và thời gian ký được lưu cùng hồ sơ.</w:t>
      </w:r>
    </w:p>
    <w:p>
      <w:pPr>
        <w:spacing w:after="100" w:line="280"/>
        <w:pStyle w:val="Heading2"/>
      </w:pPr>
      <w:r>
        <w:rPr>
          <w:rFonts w:ascii="DejaVu Serif" w:hAnsi="DejaVu Serif"/>
          <w:sz w:val="24"/>
          <w:b/>
        </w:rPr>
        <w:t xml:space="preserve">BÊN MUA</w:t>
      </w:r>
    </w:p>
    <w:p>
      <w:pPr>
        <w:spacing w:after="100" w:line="280"/>
      </w:pPr>
      <w:r>
        <w:rPr>
          <w:rFonts w:ascii="DejaVu Serif" w:hAnsi="DejaVu Serif"/>
          <w:sz w:val="24"/>
        </w:rPr>
        <w:t xml:space="preserve">Nguyễn Văn An</w:t>
      </w:r>
    </w:p>
    <w:p>
      <w:pPr>
        <w:spacing w:after="100" w:line="280"/>
        <w:pStyle w:val="Anchor"/>
      </w:pPr>
      <w:r>
        <w:rPr>
          <w:rFonts w:ascii="DejaVu Serif" w:hAnsi="DejaVu Serif"/>
          <w:sz w:val="18"/>
        </w:rPr>
        <w:t xml:space="preserve">VỊ TRÍ KÝ 01</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p>
      <w:pPr>
        <w:spacing w:after="100" w:line="280"/>
        <w:pStyle w:val="Heading2"/>
      </w:pPr>
      <w:r>
        <w:rPr>
          <w:rFonts w:ascii="DejaVu Serif" w:hAnsi="DejaVu Serif"/>
          <w:sz w:val="24"/>
          <w:b/>
        </w:rPr>
        <w:t xml:space="preserve">NHÀ CUNG CẤP</w:t>
      </w:r>
    </w:p>
    <w:p>
      <w:pPr>
        <w:spacing w:after="100" w:line="280"/>
      </w:pPr>
      <w:r>
        <w:rPr>
          <w:rFonts w:ascii="DejaVu Serif" w:hAnsi="DejaVu Serif"/>
          <w:sz w:val="24"/>
        </w:rPr>
        <w:t xml:space="preserve">Vũ Thanh Hà</w:t>
      </w:r>
    </w:p>
    <w:p>
      <w:pPr>
        <w:spacing w:after="100" w:line="280"/>
        <w:pStyle w:val="Anchor"/>
      </w:pPr>
      <w:r>
        <w:rPr>
          <w:rFonts w:ascii="DejaVu Serif" w:hAnsi="DejaVu Serif"/>
          <w:sz w:val="18"/>
        </w:rPr>
        <w:t xml:space="preserve">VỊ TRÍ KÝ 02</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sectPr>
      <w:footerReference w:type="default" r:id="rId2"/>
      <w:pgSz w:w="11906" w:h="16838"/>
      <w:pgMar w:top="1000" w:right="1134" w:bottom="1000" w:left="1134" w:footer="500"/>
    </w:sectPr>
  </w:body>
</w:document>
</file>

<file path=word/footer.xml><?xml version="1.0" encoding="utf-8"?>
<w:ftr xmlns:w="http://schemas.openxmlformats.org/wordprocessingml/2006/main">
  <w:p>
    <w:pPr>
      <w:spacing w:after="100" w:line="280"/>
    </w:pPr>
    <w:r>
      <w:rPr>
        <w:rFonts w:ascii="DejaVu Serif" w:hAnsi="DejaVu Serif"/>
        <w:sz w:val="24"/>
      </w:rPr>
      <w:t xml:space="preserve">DEMO-2 · Mẫu dùng thử — Chưa ký · Trang </w:t>
    </w:r>
    <w:fldSimple w:instr="PAGE"/>
  </w:p>
</w:ftr>
</file>

<file path=word/styles.xml><?xml version="1.0" encoding="utf-8"?>
<w:styles xmlns:w="http://schemas.openxmlformats.org/wordprocessingml/2006/main">
  <w:docDefaults>
    <w:rPrDefault>
      <w:rPr>
        <w:rFonts w:ascii="Times New Roman" w:hAnsi="Times New Roman"/>
        <w:sz w:val="24"/>
      </w:rPr>
    </w:rPrDefault>
    <w:pPrDefault>
      <w:pPr>
        <w:spacing w:after="100" w:line="280"/>
      </w:pPr>
    </w:pPrDefault>
  </w:docDefaults>
  <w:style w:type="paragraph" w:styleId="Title">
    <w:pPr>
      <w:spacing w:before="180" w:after="180"/>
      <w:keepNext/>
    </w:pPr>
    <w:rPr>
      <w:b/>
      <w:sz w:val="32"/>
    </w:rPr>
  </w:style>
  <w:style w:type="paragraph" w:styleId="Heading1">
    <w:pPr>
      <w:keepNext/>
      <w:spacing w:before="160" w:after="80"/>
    </w:pPr>
    <w:rPr>
      <w:b/>
      <w:sz w:val="26"/>
    </w:rPr>
  </w:style>
  <w:style w:type="paragraph" w:styleId="Heading2">
    <w:pPr>
      <w:keepNext/>
    </w:pPr>
    <w:rPr>
      <w:b/>
      <w:sz w:val="26"/>
    </w:rPr>
  </w:style>
  <w:style w:type="paragraph" w:styleId="Notice">
    <w:rPr>
      <w:color w:val="92400E"/>
      <w:sz w:val="18"/>
    </w:rPr>
  </w:style>
  <w:style w:type="paragraph" w:styleId="Anchor">
    <w:rPr>
      <w:color w:val="64748B"/>
      <w:sz w:val="18"/>
    </w:r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footer" Target="footer.xml"/></Relationships>
</file>