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56"/>
          <w:szCs w:val="56"/>
        </w:rPr>
      </w:pPr>
      <w:r>
        <w:rPr>
          <w:b/>
          <w:bCs/>
          <w:sz w:val="56"/>
          <w:szCs w:val="56"/>
        </w:rPr>
      </w:r>
    </w:p>
    <w:p>
      <w:pPr>
        <w:pStyle w:val="Normal"/>
        <w:jc w:val="center"/>
        <w:rPr>
          <w:b/>
          <w:bCs/>
          <w:sz w:val="56"/>
          <w:szCs w:val="56"/>
        </w:rPr>
      </w:pPr>
      <w:r>
        <w:rPr>
          <w:b/>
          <w:bCs/>
          <w:sz w:val="56"/>
          <w:szCs w:val="56"/>
        </w:rPr>
      </w:r>
    </w:p>
    <w:p>
      <w:pPr>
        <w:pStyle w:val="Normal"/>
        <w:jc w:val="center"/>
        <w:rPr>
          <w:b/>
          <w:bCs/>
          <w:sz w:val="56"/>
          <w:szCs w:val="56"/>
        </w:rPr>
      </w:pPr>
      <w:r>
        <w:rPr>
          <w:b/>
          <w:bCs/>
          <w:sz w:val="56"/>
          <w:szCs w:val="56"/>
        </w:rPr>
        <w:t>TUNIX SOFTWARE AND EMBEDDED SYSTEMS</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 xml:space="preserve">T CORE MODULES: MEMORY, ERROR, &amp; SELF-TEST FORKS </w:t>
      </w:r>
    </w:p>
    <w:p>
      <w:pPr>
        <w:pStyle w:val="Normal"/>
        <w:jc w:val="center"/>
        <w:rPr>
          <w:b/>
          <w:bCs/>
        </w:rPr>
      </w:pPr>
      <w:r>
        <w:rPr>
          <w:b/>
          <w:bCs/>
        </w:rPr>
        <w:t>VERSION: 4.0.0</w:t>
      </w:r>
    </w:p>
    <w:p>
      <w:pPr>
        <w:pStyle w:val="Normal"/>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pPr>
      <w:r>
        <w:rPr>
          <w:b/>
          <w:bCs/>
        </w:rPr>
        <w:t>DOCUMENT REVISION:</w:t>
      </w:r>
      <w:r>
        <w:rPr/>
        <w:t xml:space="preserve"> 2.0 | </w:t>
      </w:r>
      <w:r>
        <w:rPr>
          <w:b/>
          <w:bCs/>
        </w:rPr>
        <w:t>ARCHITECTURE:</w:t>
      </w:r>
      <w:r>
        <w:rPr/>
        <w:t xml:space="preserve"> AVR / ATMEGA328P</w:t>
      </w:r>
    </w:p>
    <w:p>
      <w:pPr>
        <w:pStyle w:val="Normal"/>
        <w:rPr/>
      </w:pPr>
      <w:r>
        <w:rPr/>
      </w:r>
      <w:r>
        <w:br w:type="page"/>
      </w:r>
    </w:p>
    <w:p>
      <w:pPr>
        <w:pStyle w:val="Normal"/>
        <w:spacing w:before="0" w:after="160"/>
        <w:rPr>
          <w:b/>
          <w:bCs/>
        </w:rPr>
      </w:pPr>
      <w:r>
        <w:rPr>
          <w:b/>
          <w:bCs/>
        </w:rPr>
        <w:t>1. Introduction</w:t>
      </w:r>
    </w:p>
    <w:p>
      <w:pPr>
        <w:pStyle w:val="Normal"/>
        <w:rPr/>
      </w:pPr>
      <w:r>
        <w:rPr/>
        <w:t>The Tunix Core Modules v4.0.0 aim to achieve a clean, type-safe, optimized, ready-to-use, and easy infrastructure management framework on Arduino Boards (ATMEGA328P) and other AVR-based microcontrollers. This version introduces expanded EEPROM operations with re-newed read/write functions and template support. Now EEPROM is accessed via Partitions created by user fore-hand or adjusted in capacity as the program’s requirements. Supports up to 2+8 Partitions (Version, Settings, +8 Custom). All partitions could be mirrored with count functionality, for example 3 copies of RGB Struct.</w:t>
      </w:r>
    </w:p>
    <w:p>
      <w:pPr>
        <w:pStyle w:val="Normal"/>
        <w:rPr>
          <w:b/>
          <w:bCs/>
        </w:rPr>
      </w:pPr>
      <w:r>
        <w:rPr>
          <w:b/>
          <w:bCs/>
        </w:rPr>
        <w:t>2. Associated Files</w:t>
      </w:r>
    </w:p>
    <w:p>
      <w:pPr>
        <w:pStyle w:val="Normal"/>
        <w:rPr/>
      </w:pPr>
      <w:r>
        <w:rPr/>
        <w:t>The Tunix Core requires specific file pairs to be added to the include and src project folders. Memory and Error Manager Modules work together in order to interrupt device problems. Names and class names are changed in this version.</w:t>
      </w:r>
    </w:p>
    <w:p>
      <w:pPr>
        <w:pStyle w:val="Normal"/>
        <w:numPr>
          <w:ilvl w:val="0"/>
          <w:numId w:val="1"/>
        </w:numPr>
        <w:rPr/>
      </w:pPr>
      <w:r>
        <w:rPr>
          <w:b/>
          <w:bCs/>
        </w:rPr>
        <w:t>Memory Fork:</w:t>
      </w:r>
      <w:r>
        <w:rPr/>
        <w:t xml:space="preserve"> TMemoryManager.h, TMemoryManager.cpp</w:t>
      </w:r>
    </w:p>
    <w:p>
      <w:pPr>
        <w:pStyle w:val="Normal"/>
        <w:numPr>
          <w:ilvl w:val="0"/>
          <w:numId w:val="1"/>
        </w:numPr>
        <w:rPr/>
      </w:pPr>
      <w:r>
        <w:rPr>
          <w:b/>
          <w:bCs/>
        </w:rPr>
        <w:t>Error Fork:</w:t>
      </w:r>
      <w:r>
        <w:rPr/>
        <w:t xml:space="preserve"> TErrorManager.h, TErrorManager.cpp</w:t>
      </w:r>
    </w:p>
    <w:p>
      <w:pPr>
        <w:pStyle w:val="Normal"/>
        <w:numPr>
          <w:ilvl w:val="0"/>
          <w:numId w:val="1"/>
        </w:numPr>
        <w:rPr/>
      </w:pPr>
      <w:r>
        <w:rPr>
          <w:b/>
          <w:bCs/>
        </w:rPr>
        <w:t>Self-Test Fork:</w:t>
      </w:r>
      <w:r>
        <w:rPr/>
        <w:t xml:space="preserve"> TSelfTest.h, TSelfTest.cpp</w:t>
      </w:r>
    </w:p>
    <w:p>
      <w:pPr>
        <w:pStyle w:val="Normal"/>
        <w:numPr>
          <w:ilvl w:val="0"/>
          <w:numId w:val="1"/>
        </w:numPr>
        <w:rPr/>
      </w:pPr>
      <w:r>
        <w:rPr>
          <w:b/>
          <w:bCs/>
        </w:rPr>
        <w:t>Constants: C</w:t>
      </w:r>
      <w:r>
        <w:rPr/>
        <w:t>onstants.h</w:t>
      </w:r>
    </w:p>
    <w:p>
      <w:pPr>
        <w:pStyle w:val="Normal"/>
        <w:rPr>
          <w:b/>
          <w:bCs/>
        </w:rPr>
      </w:pPr>
      <w:r>
        <w:rPr>
          <w:b/>
          <w:bCs/>
        </w:rPr>
        <w:t>3. Module Specifications &amp; Protocols</w:t>
      </w:r>
    </w:p>
    <w:p>
      <w:pPr>
        <w:pStyle w:val="Normal"/>
        <w:rPr>
          <w:b/>
          <w:bCs/>
        </w:rPr>
      </w:pPr>
      <w:r>
        <w:rPr>
          <w:b/>
          <w:bCs/>
        </w:rPr>
        <w:t>3.1. Memory Manager Fork</w:t>
      </w:r>
    </w:p>
    <w:p>
      <w:pPr>
        <w:pStyle w:val="Normal"/>
        <w:rPr/>
      </w:pPr>
      <w:r>
        <w:rPr/>
        <w:t>This version’s new features are almost completely on the memory manager side. Now device reserves the first 64 byte for the Partition Table, full automatic table management is included in the update. Table holds Partitions’ startAddress, size and count. Maximum partition is 10. Paritions with ‘0’ size or ‘0’ count counts as empty/deleted. A partition could store a struct with less size than the partition’s itself.</w:t>
      </w:r>
    </w:p>
    <w:p>
      <w:pPr>
        <w:pStyle w:val="Normal"/>
        <w:numPr>
          <w:ilvl w:val="0"/>
          <w:numId w:val="3"/>
        </w:numPr>
        <w:rPr/>
      </w:pPr>
      <w:r>
        <w:rPr/>
        <w:t>Template read/write functions allows flexiable variable/file store system as long as memory is sufficient.</w:t>
      </w:r>
    </w:p>
    <w:p>
      <w:pPr>
        <w:pStyle w:val="Normal"/>
        <w:numPr>
          <w:ilvl w:val="0"/>
          <w:numId w:val="3"/>
        </w:numPr>
        <w:rPr/>
      </w:pPr>
      <w:r>
        <w:rPr/>
        <w:t>If template’s size is bigger than partition’s allocation it returns an error to TErrorManager so device can take actions.</w:t>
      </w:r>
    </w:p>
    <w:p>
      <w:pPr>
        <w:pStyle w:val="Normal"/>
        <w:numPr>
          <w:ilvl w:val="0"/>
          <w:numId w:val="3"/>
        </w:numPr>
        <w:rPr/>
      </w:pPr>
      <w:r>
        <w:rPr/>
        <w:t>In case of partition’s size has to be changed resizePartition function seamlessly shift all the data forward or backwards automatically.</w:t>
      </w:r>
    </w:p>
    <w:p>
      <w:pPr>
        <w:pStyle w:val="Normal"/>
        <w:rPr>
          <w:b/>
          <w:bCs/>
        </w:rPr>
      </w:pPr>
      <w:r>
        <w:rPr>
          <w:b/>
          <w:bCs/>
        </w:rPr>
        <w:t>3.2. Error Manager Fork</w:t>
      </w:r>
    </w:p>
    <w:p>
      <w:pPr>
        <w:pStyle w:val="Normal"/>
        <w:rPr/>
      </w:pPr>
      <w:r>
        <w:rPr/>
        <w:t>Error Codes are updated due to extended errors, now instead of ‘AB’; A as category and B as Specific Error Code. Now it ‘ABC’; A as category, B as sub category and C as is Specific Error Code.</w:t>
      </w:r>
    </w:p>
    <w:p>
      <w:pPr>
        <w:pStyle w:val="Normal"/>
        <w:rPr>
          <w:b/>
          <w:bCs/>
        </w:rPr>
      </w:pPr>
      <w:r>
        <w:rPr>
          <w:b/>
          <w:bCs/>
        </w:rPr>
        <w:t>3.3. Self-Test Fork</w:t>
      </w:r>
    </w:p>
    <w:p>
      <w:pPr>
        <w:pStyle w:val="Normal"/>
        <w:rPr/>
      </w:pPr>
      <w:r>
        <w:rPr/>
        <w:t>Executes boot-level hardware integrity checks. This version does not include changes to Self-Test Fork.</w:t>
      </w:r>
    </w:p>
    <w:p>
      <w:pPr>
        <w:pStyle w:val="Normal"/>
        <w:numPr>
          <w:ilvl w:val="0"/>
          <w:numId w:val="2"/>
        </w:numPr>
        <w:rPr/>
      </w:pPr>
      <w:r>
        <w:rPr>
          <w:b/>
          <w:bCs/>
        </w:rPr>
        <w:t>RAM Integrity Test:</w:t>
      </w:r>
      <w:r>
        <w:rPr/>
        <w:t xml:space="preserve"> Scans the dynamic SRAM area using 0x5555 and 0xAAAA bitwise patterns to detect faulty registers. Restores original memory states post-test to prevent data corruption.</w:t>
      </w:r>
    </w:p>
    <w:p>
      <w:pPr>
        <w:pStyle w:val="Normal"/>
        <w:numPr>
          <w:ilvl w:val="0"/>
          <w:numId w:val="2"/>
        </w:numPr>
        <w:rPr/>
      </w:pPr>
      <w:r>
        <w:rPr>
          <w:b/>
          <w:bCs/>
        </w:rPr>
        <w:t>Free RAM Calculation:</w:t>
      </w:r>
      <w:r>
        <w:rPr/>
        <w:t xml:space="preserve"> Returns available SRAM in bytes via pointer arithmetic (__heap_start and __brkval).</w:t>
      </w:r>
    </w:p>
    <w:p>
      <w:pPr>
        <w:pStyle w:val="Normal"/>
        <w:rPr/>
      </w:pPr>
      <w:r>
        <w:rPr>
          <w:b/>
          <w:bCs/>
        </w:rPr>
        <w:t>3.3. Constants</w:t>
      </w:r>
    </w:p>
    <w:p>
      <w:pPr>
        <w:pStyle w:val="Normal"/>
        <w:rPr/>
      </w:pPr>
      <w:r>
        <w:rPr/>
        <w:t>Centralizes hardware pin definitions (Pins namespace), versioning structures (VersionInfo), system version declarations (SystemVersion namespace), and enum class ErrorCode definitions.</w:t>
      </w:r>
    </w:p>
    <w:p>
      <w:pPr>
        <w:pStyle w:val="Normal"/>
        <w:rPr>
          <w:b/>
          <w:bCs/>
        </w:rPr>
      </w:pPr>
      <w:r>
        <w:rPr>
          <w:b/>
          <w:bCs/>
        </w:rPr>
        <w:t>4. Standardized Error Codes Reference (Quick Look-up)</w:t>
      </w:r>
    </w:p>
    <w:p>
      <w:pPr>
        <w:pStyle w:val="Normal"/>
        <w:rPr/>
      </w:pPr>
      <w:r>
        <w:rPr>
          <w:i/>
          <w:iCs/>
        </w:rPr>
        <w:t>Use this reference table during runtime debugging and system auditing.</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1333"/>
        <w:gridCol w:w="3495"/>
        <w:gridCol w:w="1805"/>
        <w:gridCol w:w="2711"/>
      </w:tblGrid>
      <w:tr>
        <w:trPr>
          <w:tblHeader w:val="true"/>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Error Code</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Definition</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Module Origin</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Recommended Protocol</w:t>
            </w:r>
          </w:p>
        </w:tc>
      </w:tr>
      <w:tr>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0</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SYSTEM_OK</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System</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Continue Boot</w:t>
            </w:r>
          </w:p>
        </w:tc>
      </w:tr>
      <w:tr>
        <w:trPr>
          <w:trHeight w:val="1154" w:hRule="atLeast"/>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101</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FIRMWARE_VERSION_ERROR</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Force Factory Reset</w:t>
            </w:r>
          </w:p>
        </w:tc>
      </w:tr>
      <w:tr>
        <w:trPr>
          <w:trHeight w:val="434" w:hRule="atLeast"/>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102</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VERSION_NOT_SUPPORTED</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Force Factory Reset</w:t>
            </w:r>
          </w:p>
        </w:tc>
      </w:tr>
      <w:tr>
        <w:trPr>
          <w:trHeight w:val="570" w:hRule="atLeast"/>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103</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DOWNGRADED_FIRMWARE</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Recommend Factory Reset</w:t>
            </w:r>
          </w:p>
        </w:tc>
      </w:tr>
      <w:tr>
        <w:trPr>
          <w:trHeight w:val="330" w:hRule="atLeast"/>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111</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PROGRAM_LOOP_FAILURE</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Main Loop</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Reset Device</w:t>
            </w:r>
          </w:p>
        </w:tc>
      </w:tr>
      <w:tr>
        <w:trPr>
          <w:trHeight w:val="555" w:hRule="atLeast"/>
        </w:trPr>
        <w:tc>
          <w:tcPr>
            <w:tcW w:w="1333"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b/>
                <w:bCs/>
              </w:rPr>
              <w:t>121</w:t>
            </w:r>
          </w:p>
        </w:tc>
        <w:tc>
          <w:tcPr>
            <w:tcW w:w="349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RAM_FAILURE</w:t>
            </w:r>
          </w:p>
        </w:tc>
        <w:tc>
          <w:tcPr>
            <w:tcW w:w="1805"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Self-Test</w:t>
            </w:r>
          </w:p>
        </w:tc>
        <w:tc>
          <w:tcPr>
            <w:tcW w:w="2711" w:type="dxa"/>
            <w:tcBorders>
              <w:top w:val="single" w:sz="6" w:space="0" w:color="C4C7C5"/>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Halt System (Critical)</w:t>
            </w:r>
          </w:p>
        </w:tc>
      </w:tr>
      <w:tr>
        <w:trPr/>
        <w:tc>
          <w:tcPr>
            <w:tcW w:w="1333"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b/>
                <w:bCs/>
              </w:rPr>
            </w:pPr>
            <w:r>
              <w:rPr>
                <w:b/>
                <w:bCs/>
              </w:rPr>
              <w:t>122</w:t>
            </w:r>
          </w:p>
        </w:tc>
        <w:tc>
          <w:tcPr>
            <w:tcW w:w="349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RAM_LOW</w:t>
            </w:r>
          </w:p>
        </w:tc>
        <w:tc>
          <w:tcPr>
            <w:tcW w:w="180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Self-Test</w:t>
            </w:r>
          </w:p>
        </w:tc>
        <w:tc>
          <w:tcPr>
            <w:tcW w:w="2711"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Device Specific Halt/Free Memory</w:t>
            </w:r>
          </w:p>
        </w:tc>
      </w:tr>
      <w:tr>
        <w:trPr/>
        <w:tc>
          <w:tcPr>
            <w:tcW w:w="1333"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b/>
                <w:bCs/>
              </w:rPr>
            </w:pPr>
            <w:r>
              <w:rPr>
                <w:b/>
                <w:bCs/>
              </w:rPr>
              <w:t>131</w:t>
            </w:r>
          </w:p>
        </w:tc>
        <w:tc>
          <w:tcPr>
            <w:tcW w:w="349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EEPROM_FULL</w:t>
            </w:r>
          </w:p>
        </w:tc>
        <w:tc>
          <w:tcPr>
            <w:tcW w:w="180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Halt System/Cancel EEPROM operation</w:t>
            </w:r>
          </w:p>
        </w:tc>
      </w:tr>
      <w:tr>
        <w:trPr/>
        <w:tc>
          <w:tcPr>
            <w:tcW w:w="1333"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b/>
                <w:bCs/>
              </w:rPr>
            </w:pPr>
            <w:r>
              <w:rPr>
                <w:b/>
                <w:bCs/>
              </w:rPr>
              <w:t>132</w:t>
            </w:r>
          </w:p>
        </w:tc>
        <w:tc>
          <w:tcPr>
            <w:tcW w:w="349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ACCESS_VIOLATION</w:t>
            </w:r>
          </w:p>
        </w:tc>
        <w:tc>
          <w:tcPr>
            <w:tcW w:w="180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Halt System, Update Firmware</w:t>
            </w:r>
          </w:p>
        </w:tc>
      </w:tr>
      <w:tr>
        <w:trPr/>
        <w:tc>
          <w:tcPr>
            <w:tcW w:w="1333"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b/>
                <w:bCs/>
              </w:rPr>
            </w:pPr>
            <w:r>
              <w:rPr>
                <w:b/>
                <w:bCs/>
              </w:rPr>
              <w:t>133</w:t>
            </w:r>
          </w:p>
        </w:tc>
        <w:tc>
          <w:tcPr>
            <w:tcW w:w="349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BUFFER_OVERFLOW</w:t>
            </w:r>
          </w:p>
        </w:tc>
        <w:tc>
          <w:tcPr>
            <w:tcW w:w="180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Cancel Writing</w:t>
            </w:r>
          </w:p>
        </w:tc>
      </w:tr>
      <w:tr>
        <w:trPr/>
        <w:tc>
          <w:tcPr>
            <w:tcW w:w="1333"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b/>
                <w:bCs/>
              </w:rPr>
            </w:pPr>
            <w:r>
              <w:rPr>
                <w:b/>
                <w:bCs/>
              </w:rPr>
              <w:t>134</w:t>
            </w:r>
          </w:p>
        </w:tc>
        <w:tc>
          <w:tcPr>
            <w:tcW w:w="349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INTEGRITY_ERROR</w:t>
            </w:r>
          </w:p>
        </w:tc>
        <w:tc>
          <w:tcPr>
            <w:tcW w:w="1805"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Memory Manager</w:t>
            </w:r>
          </w:p>
        </w:tc>
        <w:tc>
          <w:tcPr>
            <w:tcW w:w="2711" w:type="dxa"/>
            <w:tcBorders>
              <w:start w:val="single" w:sz="6" w:space="0" w:color="C4C7C5"/>
              <w:bottom w:val="single" w:sz="6" w:space="0" w:color="C4C7C5"/>
              <w:end w:val="single" w:sz="6" w:space="0" w:color="C4C7C5"/>
            </w:tcBorders>
            <w:vAlign w:val="center"/>
          </w:tcPr>
          <w:p>
            <w:pPr>
              <w:pStyle w:val="Normal"/>
              <w:widowControl/>
              <w:bidi w:val="0"/>
              <w:spacing w:lineRule="auto" w:line="278" w:before="0" w:after="160"/>
              <w:jc w:val="start"/>
              <w:rPr/>
            </w:pPr>
            <w:r>
              <w:rPr/>
              <w:t>Re-Format EEPROM</w:t>
            </w:r>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5. Compatibility &amp; Limitations</w:t>
      </w:r>
    </w:p>
    <w:p>
      <w:pPr>
        <w:pStyle w:val="Normal"/>
        <w:numPr>
          <w:ilvl w:val="0"/>
          <w:numId w:val="1"/>
        </w:numPr>
        <w:spacing w:before="0" w:after="60"/>
        <w:contextualSpacing/>
        <w:rPr/>
      </w:pPr>
      <w:r>
        <w:rPr/>
        <w:t>Self-Test SRAM bitwise pattern scanning relies on AVR ATMEGA328P heap/stack memory pointers (__heap_start, __brkval, RAMEND). Non-AVR architectures (ESP32, STM32) require architecture conditional blocks (#if defined(__AVR__)).</w:t>
      </w:r>
    </w:p>
    <w:p>
      <w:pPr>
        <w:pStyle w:val="Normal"/>
        <w:numPr>
          <w:ilvl w:val="0"/>
          <w:numId w:val="1"/>
        </w:numPr>
        <w:spacing w:before="0" w:after="60"/>
        <w:contextualSpacing/>
        <w:rPr/>
      </w:pPr>
      <w:r>
        <w:rPr/>
        <w:t>T Memory Manager might need specialized update path and pre-defined old data addresess due to new partition system TPT (Tunix Partition Table).</w:t>
      </w:r>
    </w:p>
    <w:p>
      <w:pPr>
        <w:pStyle w:val="Normal"/>
        <w:numPr>
          <w:ilvl w:val="0"/>
          <w:numId w:val="1"/>
        </w:numPr>
        <w:spacing w:before="0" w:after="60"/>
        <w:contextualSpacing/>
        <w:rPr/>
      </w:pPr>
      <w:r>
        <w:rPr/>
        <w:t>New system’s BUFFER_OVERFLOW error doesn’t come with integrated cancel mechanism and has to be triggered manually.</w:t>
      </w:r>
    </w:p>
    <w:p>
      <w:pPr>
        <w:pStyle w:val="Normal"/>
        <w:spacing w:lineRule="auto" w:line="240" w:before="0" w:after="60"/>
        <w:contextualSpacing/>
        <w:rPr>
          <w:b/>
          <w:bCs/>
        </w:rPr>
      </w:pPr>
      <w:r>
        <w:rPr>
          <w:b/>
          <w:bCs/>
        </w:rPr>
      </w:r>
    </w:p>
    <w:p>
      <w:pPr>
        <w:pStyle w:val="Normal"/>
        <w:spacing w:lineRule="auto" w:line="276" w:before="0" w:after="60"/>
        <w:contextualSpacing/>
        <w:rPr>
          <w:b/>
          <w:bCs/>
        </w:rPr>
      </w:pPr>
      <w:r>
        <w:rPr>
          <w:b/>
          <w:bCs/>
        </w:rPr>
        <w:t>6. EEPROM Memory Map (Address Layout)</w:t>
      </w:r>
    </w:p>
    <w:p>
      <w:pPr>
        <w:pStyle w:val="Normal"/>
        <w:spacing w:lineRule="auto" w:line="240" w:before="0" w:afterAutospacing="1"/>
        <w:rPr>
          <w:rFonts w:eastAsia="Times New Roman" w:cs="Arial"/>
          <w:kern w:val="0"/>
          <w14:ligatures w14:val="none"/>
        </w:rPr>
      </w:pPr>
      <w:r>
        <w:rPr>
          <w:rFonts w:eastAsia="Times New Roman" w:cs="Arial"/>
          <w:i/>
          <w:iCs/>
          <w:kern w:val="0"/>
          <w14:ligatures w14:val="none"/>
        </w:rPr>
        <w:t xml:space="preserve">The memory map below details the default ATMEGA328P EEPROM layout. Addresses are automatically calculated via </w:t>
      </w:r>
      <w:r>
        <w:rPr>
          <w:rFonts w:eastAsia="Times New Roman" w:cs="Arial"/>
          <w:i/>
          <w:iCs/>
          <w:kern w:val="0"/>
          <w14:ligatures w14:val="none"/>
        </w:rPr>
        <w:t>TPT’s address</w:t>
      </w:r>
      <w:r>
        <w:rPr>
          <w:rFonts w:eastAsia="Times New Roman" w:cs="Arial"/>
          <w:i/>
          <w:iCs/>
          <w:kern w:val="0"/>
          <w14:ligatures w14:val="none"/>
        </w:rPr>
        <w:t xml:space="preserve"> evaluation.</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1709"/>
        <w:gridCol w:w="1980"/>
        <w:gridCol w:w="1424"/>
        <w:gridCol w:w="4231"/>
      </w:tblGrid>
      <w:tr>
        <w:trPr>
          <w:tblHeader w:val="true"/>
        </w:trPr>
        <w:tc>
          <w:tcPr>
            <w:tcW w:w="170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Address Range</w:t>
            </w:r>
          </w:p>
        </w:tc>
        <w:tc>
          <w:tcPr>
            <w:tcW w:w="1980"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Data Structure</w:t>
            </w:r>
          </w:p>
        </w:tc>
        <w:tc>
          <w:tcPr>
            <w:tcW w:w="142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Size (Bytes)</w:t>
            </w:r>
          </w:p>
        </w:tc>
        <w:tc>
          <w:tcPr>
            <w:tcW w:w="4231"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Description &amp; Variables</w:t>
            </w:r>
          </w:p>
        </w:tc>
      </w:tr>
      <w:tr>
        <w:trPr/>
        <w:tc>
          <w:tcPr>
            <w:tcW w:w="170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0x00 - 0x59</w:t>
            </w:r>
          </w:p>
        </w:tc>
        <w:tc>
          <w:tcPr>
            <w:tcW w:w="1980"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Partition Data</w:t>
            </w:r>
          </w:p>
        </w:tc>
        <w:tc>
          <w:tcPr>
            <w:tcW w:w="142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60 Bytes</w:t>
            </w:r>
          </w:p>
        </w:tc>
        <w:tc>
          <w:tcPr>
            <w:tcW w:w="4231"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Holds 10 Partition’s Data.</w:t>
            </w:r>
          </w:p>
        </w:tc>
      </w:tr>
      <w:tr>
        <w:trPr/>
        <w:tc>
          <w:tcPr>
            <w:tcW w:w="170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0x60 - 0x61</w:t>
            </w:r>
          </w:p>
        </w:tc>
        <w:tc>
          <w:tcPr>
            <w:tcW w:w="1980"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jc w:val="center"/>
              <w:rPr>
                <w:rFonts w:eastAsia="Times New Roman" w:cs="Arial"/>
                <w:kern w:val="0"/>
                <w14:ligatures w14:val="none"/>
              </w:rPr>
            </w:pPr>
            <w:r>
              <w:rPr>
                <w:rFonts w:eastAsia="Times New Roman" w:cs="Arial"/>
                <w:kern w:val="0"/>
                <w14:ligatures w14:val="none"/>
              </w:rPr>
              <w:t>Device Signature</w:t>
            </w:r>
          </w:p>
        </w:tc>
        <w:tc>
          <w:tcPr>
            <w:tcW w:w="142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jc w:val="center"/>
              <w:rPr>
                <w:rFonts w:eastAsia="Times New Roman" w:cs="Arial"/>
                <w:kern w:val="0"/>
                <w14:ligatures w14:val="none"/>
              </w:rPr>
            </w:pPr>
            <w:r>
              <w:rPr>
                <w:rFonts w:eastAsia="Times New Roman" w:cs="Arial"/>
                <w:kern w:val="0"/>
                <w14:ligatures w14:val="none"/>
              </w:rPr>
              <w:t>2 Byte</w:t>
            </w:r>
          </w:p>
        </w:tc>
        <w:tc>
          <w:tcPr>
            <w:tcW w:w="4231"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Holds an magic data to check if an corraption is present.</w:t>
            </w:r>
          </w:p>
        </w:tc>
      </w:tr>
      <w:tr>
        <w:trPr/>
        <w:tc>
          <w:tcPr>
            <w:tcW w:w="170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b/>
                <w:bCs/>
                <w:kern w:val="0"/>
                <w14:ligatures w14:val="none"/>
              </w:rPr>
              <w:t>0x62 - 0x63</w:t>
            </w:r>
          </w:p>
        </w:tc>
        <w:tc>
          <w:tcPr>
            <w:tcW w:w="1980"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jc w:val="center"/>
              <w:rPr>
                <w:i w:val="false"/>
                <w:iCs w:val="false"/>
              </w:rPr>
            </w:pPr>
            <w:r>
              <w:rPr>
                <w:rFonts w:eastAsia="Times New Roman" w:cs="Arial"/>
                <w:i w:val="false"/>
                <w:iCs w:val="false"/>
                <w:kern w:val="0"/>
                <w14:ligatures w14:val="none"/>
              </w:rPr>
              <w:t>Transaction Flag</w:t>
            </w:r>
          </w:p>
        </w:tc>
        <w:tc>
          <w:tcPr>
            <w:tcW w:w="1424"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jc w:val="center"/>
              <w:rPr>
                <w:rFonts w:eastAsia="Times New Roman" w:cs="Arial"/>
                <w:kern w:val="0"/>
                <w14:ligatures w14:val="none"/>
              </w:rPr>
            </w:pPr>
            <w:r>
              <w:rPr>
                <w:rFonts w:eastAsia="Times New Roman" w:cs="Arial"/>
                <w:kern w:val="0"/>
                <w14:ligatures w14:val="none"/>
              </w:rPr>
              <w:t>2 Byte</w:t>
            </w:r>
          </w:p>
        </w:tc>
        <w:tc>
          <w:tcPr>
            <w:tcW w:w="4231"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Holds either “Done” or “Progress” to safely execute updates.</w:t>
            </w:r>
          </w:p>
        </w:tc>
      </w:tr>
      <w:tr>
        <w:trPr/>
        <w:tc>
          <w:tcPr>
            <w:tcW w:w="1709" w:type="dxa"/>
            <w:tcBorders>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b/>
                <w:bCs/>
                <w:kern w:val="0"/>
                <w14:ligatures w14:val="none"/>
              </w:rPr>
            </w:pPr>
            <w:r>
              <w:rPr>
                <w:rFonts w:eastAsia="Times New Roman" w:cs="Arial"/>
                <w:b/>
                <w:bCs/>
                <w:kern w:val="0"/>
                <w14:ligatures w14:val="none"/>
              </w:rPr>
              <w:t>0x64 - EOE</w:t>
            </w:r>
          </w:p>
        </w:tc>
        <w:tc>
          <w:tcPr>
            <w:tcW w:w="1980" w:type="dxa"/>
            <w:tcBorders>
              <w:start w:val="single" w:sz="6" w:space="0" w:color="C4C7C5"/>
              <w:bottom w:val="single" w:sz="6" w:space="0" w:color="C4C7C5"/>
              <w:end w:val="single" w:sz="6" w:space="0" w:color="C4C7C5"/>
            </w:tcBorders>
            <w:vAlign w:val="center"/>
          </w:tcPr>
          <w:p>
            <w:pPr>
              <w:pStyle w:val="Normal"/>
              <w:spacing w:lineRule="auto" w:line="240" w:before="0" w:after="0"/>
              <w:jc w:val="center"/>
              <w:rPr>
                <w:i w:val="false"/>
                <w:iCs w:val="false"/>
              </w:rPr>
            </w:pPr>
            <w:r>
              <w:rPr>
                <w:i w:val="false"/>
                <w:iCs w:val="false"/>
              </w:rPr>
              <w:t>Dynamic Partitions</w:t>
            </w:r>
          </w:p>
        </w:tc>
        <w:tc>
          <w:tcPr>
            <w:tcW w:w="1424" w:type="dxa"/>
            <w:tcBorders>
              <w:start w:val="single" w:sz="6" w:space="0" w:color="C4C7C5"/>
              <w:bottom w:val="single" w:sz="6" w:space="0" w:color="C4C7C5"/>
              <w:end w:val="single" w:sz="6" w:space="0" w:color="C4C7C5"/>
            </w:tcBorders>
            <w:vAlign w:val="center"/>
          </w:tcPr>
          <w:p>
            <w:pPr>
              <w:pStyle w:val="Normal"/>
              <w:spacing w:lineRule="auto" w:line="240" w:before="0" w:after="0"/>
              <w:jc w:val="center"/>
              <w:rPr>
                <w:rFonts w:eastAsia="Times New Roman" w:cs="Arial"/>
                <w:kern w:val="0"/>
                <w14:ligatures w14:val="none"/>
              </w:rPr>
            </w:pPr>
            <w:r>
              <w:rPr>
                <w:rFonts w:eastAsia="Times New Roman" w:cs="Arial"/>
                <w:kern w:val="0"/>
                <w14:ligatures w14:val="none"/>
              </w:rPr>
              <w:t>Dynamic</w:t>
            </w:r>
          </w:p>
        </w:tc>
        <w:tc>
          <w:tcPr>
            <w:tcW w:w="4231" w:type="dxa"/>
            <w:tcBorders>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Arial"/>
                <w:kern w:val="0"/>
                <w14:ligatures w14:val="none"/>
              </w:rPr>
            </w:pPr>
            <w:r>
              <w:rPr>
                <w:rFonts w:eastAsia="Times New Roman" w:cs="Arial"/>
                <w:kern w:val="0"/>
                <w14:ligatures w14:val="none"/>
              </w:rPr>
              <w:t>User defined, partitioned data section.</w:t>
            </w:r>
          </w:p>
        </w:tc>
      </w:tr>
    </w:tbl>
    <w:p>
      <w:pPr>
        <w:pStyle w:val="Normal"/>
        <w:spacing w:lineRule="auto" w:line="240" w:before="0" w:afterAutospacing="1"/>
        <w:rPr>
          <w:rFonts w:eastAsia="Times New Roman" w:cs="Arial"/>
          <w:b/>
          <w:bCs/>
          <w:kern w:val="0"/>
          <w14:ligatures w14:val="none"/>
        </w:rPr>
      </w:pPr>
      <w:r>
        <w:rPr>
          <w:rFonts w:eastAsia="Times New Roman" w:cs="Arial"/>
          <w:b/>
          <w:bCs/>
          <w:kern w:val="0"/>
          <w14:ligatures w14:val="none"/>
        </w:rPr>
      </w:r>
    </w:p>
    <w:p>
      <w:pPr>
        <w:pStyle w:val="Normal"/>
        <w:rPr/>
      </w:pPr>
      <w:r>
        <w:rPr>
          <w:rStyle w:val="Strong"/>
        </w:rPr>
        <w:t>Warning:</w:t>
      </w:r>
      <w:r>
        <w:rPr/>
        <w:t xml:space="preserve"> </w:t>
      </w:r>
      <w:r>
        <w:rPr>
          <w:sz w:val="22"/>
          <w:szCs w:val="22"/>
        </w:rPr>
        <w:t xml:space="preserve">Do not manually overwrite addresses ‘0x00’ to ‘0x63’ using raw </w:t>
      </w:r>
      <w:r>
        <w:rPr>
          <w:i/>
          <w:iCs/>
          <w:sz w:val="22"/>
          <w:szCs w:val="22"/>
        </w:rPr>
        <w:t xml:space="preserve">EEPROM.write() </w:t>
      </w:r>
      <w:r>
        <w:rPr>
          <w:sz w:val="22"/>
          <w:szCs w:val="22"/>
        </w:rPr>
        <w:t xml:space="preserve">or </w:t>
      </w:r>
      <w:r>
        <w:rPr>
          <w:i/>
          <w:iCs/>
          <w:sz w:val="22"/>
          <w:szCs w:val="22"/>
        </w:rPr>
        <w:t>EEPROM.update()</w:t>
      </w:r>
      <w:r>
        <w:rPr>
          <w:sz w:val="22"/>
          <w:szCs w:val="22"/>
        </w:rPr>
        <w:t>. This will corrupt the Partition Table, might led to data corraption, un-intended device behaivour and triggering Error Handler. Device will reset it’s Partition Table in case of corruption.</w:t>
      </w:r>
    </w:p>
    <w:p>
      <w:pPr>
        <w:pStyle w:val="Normal"/>
        <w:rPr>
          <w:sz w:val="22"/>
          <w:szCs w:val="22"/>
        </w:rPr>
      </w:pPr>
      <w:r>
        <w:rPr>
          <w:sz w:val="22"/>
          <w:szCs w:val="22"/>
        </w:rPr>
      </w:r>
    </w:p>
    <w:p>
      <w:pPr>
        <w:pStyle w:val="Normal"/>
        <w:spacing w:before="0" w:after="160"/>
        <w:rPr>
          <w:sz w:val="22"/>
          <w:szCs w:val="22"/>
        </w:rPr>
      </w:pPr>
      <w:r>
        <w:rPr>
          <w:b/>
          <w:bCs/>
          <w:sz w:val="22"/>
          <w:szCs w:val="22"/>
        </w:rPr>
        <w:t>PS.</w:t>
      </w:r>
      <w:r>
        <w:rPr>
          <w:sz w:val="22"/>
          <w:szCs w:val="22"/>
        </w:rPr>
        <w:t xml:space="preserve"> To see the examples check the Extra Docs Folder.</w:t>
      </w:r>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358f"/>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d1fe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d1fe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d1fe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d1fe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d1fe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d1fe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d1fe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d1fe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d1fe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1fe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d1fe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d1fe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d1fe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d1fe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d1fe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d1fe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d1fe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d1fe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d1fe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1fe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d1fe1"/>
    <w:rPr>
      <w:i/>
      <w:iCs/>
      <w:color w:themeColor="text1" w:themeTint="bf" w:val="404040"/>
    </w:rPr>
  </w:style>
  <w:style w:type="character" w:styleId="IntenseEmphasis">
    <w:name w:val="Intense Emphasis"/>
    <w:basedOn w:val="DefaultParagraphFont"/>
    <w:uiPriority w:val="21"/>
    <w:qFormat/>
    <w:rsid w:val="00ed1fe1"/>
    <w:rPr>
      <w:i/>
      <w:iCs/>
      <w:color w:themeColor="accent1" w:themeShade="bf" w:val="0F4761"/>
    </w:rPr>
  </w:style>
  <w:style w:type="character" w:styleId="IntenseQuoteChar" w:customStyle="1">
    <w:name w:val="Intense Quote Char"/>
    <w:basedOn w:val="DefaultParagraphFont"/>
    <w:link w:val="IntenseQuote"/>
    <w:uiPriority w:val="30"/>
    <w:qFormat/>
    <w:rsid w:val="00ed1fe1"/>
    <w:rPr>
      <w:i/>
      <w:iCs/>
      <w:color w:themeColor="accent1" w:themeShade="bf" w:val="0F4761"/>
    </w:rPr>
  </w:style>
  <w:style w:type="character" w:styleId="IntenseReference">
    <w:name w:val="Intense Reference"/>
    <w:basedOn w:val="DefaultParagraphFont"/>
    <w:uiPriority w:val="32"/>
    <w:qFormat/>
    <w:rsid w:val="00ed1fe1"/>
    <w:rPr>
      <w:b/>
      <w:bCs/>
      <w:smallCaps/>
      <w:color w:themeColor="accent1" w:themeShade="bf" w:val="0F4761"/>
      <w:spacing w:val="5"/>
    </w:rPr>
  </w:style>
  <w:style w:type="character" w:styleId="HTMLCode">
    <w:name w:val="HTML Code"/>
    <w:basedOn w:val="DefaultParagraphFont"/>
    <w:uiPriority w:val="99"/>
    <w:semiHidden/>
    <w:unhideWhenUsed/>
    <w:qFormat/>
    <w:rsid w:val="00e14b43"/>
    <w:rPr>
      <w:rFonts w:ascii="Courier New" w:hAnsi="Courier New" w:eastAsia="Times New Roman" w:cs="Courier New"/>
      <w:sz w:val="20"/>
      <w:szCs w:val="20"/>
    </w:rPr>
  </w:style>
  <w:style w:type="character" w:styleId="Strong">
    <w:name w:val="Strong"/>
    <w:basedOn w:val="DefaultParagraphFont"/>
    <w:uiPriority w:val="22"/>
    <w:qFormat/>
    <w:rsid w:val="00e14b43"/>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d1fe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1fe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d1fe1"/>
    <w:pPr>
      <w:spacing w:before="160" w:after="160"/>
      <w:jc w:val="center"/>
    </w:pPr>
    <w:rPr>
      <w:i/>
      <w:iCs/>
      <w:color w:themeColor="text1" w:themeTint="bf" w:val="404040"/>
    </w:rPr>
  </w:style>
  <w:style w:type="paragraph" w:styleId="ListParagraph">
    <w:name w:val="List Paragraph"/>
    <w:basedOn w:val="Normal"/>
    <w:uiPriority w:val="34"/>
    <w:qFormat/>
    <w:rsid w:val="00ed1fe1"/>
    <w:pPr>
      <w:spacing w:before="0" w:after="160"/>
      <w:ind w:start="720"/>
      <w:contextualSpacing/>
    </w:pPr>
    <w:rPr/>
  </w:style>
  <w:style w:type="paragraph" w:styleId="IntenseQuote">
    <w:name w:val="Intense Quote"/>
    <w:basedOn w:val="Normal"/>
    <w:next w:val="Normal"/>
    <w:link w:val="IntenseQuoteChar"/>
    <w:uiPriority w:val="30"/>
    <w:qFormat/>
    <w:rsid w:val="00ed1fe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e14b43"/>
    <w:pPr>
      <w:spacing w:lineRule="auto" w:line="240" w:beforeAutospacing="1" w:afterAutospacing="1"/>
    </w:pPr>
    <w:rPr>
      <w:rFonts w:ascii="Times New Roman" w:hAnsi="Times New Roman" w:eastAsia="Times New Roman" w:cs="Times New Roman"/>
      <w:kern w:val="0"/>
      <w14:ligatures w14:val="none"/>
    </w:rPr>
  </w:style>
  <w:style w:type="paragraph" w:styleId="NoSpacing">
    <w:name w:val="No Spacing"/>
    <w:uiPriority w:val="1"/>
    <w:qFormat/>
    <w:rsid w:val="00ae1a43"/>
    <w:pPr>
      <w:widowControl/>
      <w:suppressAutoHyphens w:val="true"/>
      <w:bidi w:val="0"/>
      <w:spacing w:lineRule="auto" w:line="240" w:before="0" w:after="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List1">
    <w:name w:val="List 1"/>
    <w:basedOn w:val="Normal"/>
    <w:qFormat/>
    <w:pPr>
      <w:numPr>
        <w:ilvl w:val="0"/>
        <w:numId w:val="1"/>
      </w:numPr>
      <w:spacing w:before="0" w:after="8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LibreOffice/26.2.5.2$Linux_X86_64 LibreOffice_project/30643f3b95f81f04449dc87ba649cc313a42270e</Application>
  <AppVersion>15.0000</AppVersion>
  <Pages>5</Pages>
  <Words>728</Words>
  <Characters>4378</Characters>
  <CharactersWithSpaces>4991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2026-07-15T11:54:00Z</dcterms:created>
  <dc:creator>Tunahan BAYRAKTAR</dc:creator>
  <dc:description/>
  <dc:language>tr-TR</dc:language>
  <cp:lastModifiedBy/>
  <cp:lastPrinted>2026-08-02T20:36:27Z</cp:lastPrinted>
  <dcterms:modified xsi:type="dcterms:W3CDTF">2026-08-16T00:41:59Z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