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6"/>
          <w:szCs w:val="36"/>
        </w:rPr>
        <w:t xml:space="preserve">Dataset Construction and Annotation</w:t>
      </w:r>
    </w:p>
    <w:p>
      <w:pPr>
        <w:spacing w:after="60"/>
        <w:jc w:val="center"/>
      </w:pPr>
      <w:r>
        <w:rPr>
          <w:rFonts w:ascii="Times New Roman" w:cs="Times New Roman" w:eastAsia="Times New Roman" w:hAnsi="Times New Roman"/>
          <w:i/>
          <w:iCs/>
          <w:sz w:val="24"/>
          <w:szCs w:val="24"/>
        </w:rPr>
        <w:t xml:space="preserve">Methodology Documentation — Bachelor's Thesis, Babeș-Bolyai University Cluj-Napoca, 2026</w:t>
      </w:r>
    </w:p>
    <w:p>
      <w:pPr>
        <w:spacing w:after="400"/>
        <w:jc w:val="center"/>
      </w:pPr>
      <w:r>
        <w:rPr>
          <w:rFonts w:ascii="Times New Roman" w:cs="Times New Roman" w:eastAsia="Times New Roman" w:hAnsi="Times New Roman"/>
          <w:i/>
          <w:iCs/>
          <w:sz w:val="24"/>
          <w:szCs w:val="24"/>
        </w:rPr>
        <w:t xml:space="preserve">RecenzIA: Aspect-Based Sentiment Analysis on Romanian E-Commerce Reviews</w:t>
      </w:r>
    </w:p>
    <w:p>
      <w:pPr>
        <w:pStyle w:val="Heading1"/>
        <w:spacing w:after="200" w:before="400"/>
      </w:pPr>
      <w:r>
        <w:rPr>
          <w:rFonts w:ascii="Times New Roman" w:cs="Times New Roman" w:eastAsia="Times New Roman" w:hAnsi="Times New Roman"/>
          <w:b/>
          <w:bCs/>
          <w:sz w:val="32"/>
          <w:szCs w:val="32"/>
        </w:rPr>
        <w:t xml:space="preserve">1. Overview</w:t>
      </w:r>
    </w:p>
    <w:p>
      <w:pPr>
        <w:spacing w:after="160" w:line="276" w:lineRule="auto"/>
      </w:pPr>
      <w:r>
        <w:rPr>
          <w:rFonts w:ascii="Times New Roman" w:cs="Times New Roman" w:eastAsia="Times New Roman" w:hAnsi="Times New Roman"/>
          <w:sz w:val="24"/>
          <w:szCs w:val="24"/>
        </w:rPr>
        <w:t xml:space="preserve">This document describes the dataset construction methodology for RecenzIA, an Aspect-Based Sentiment Analysis (ABSA) system for Romanian e-commerce product reviews. The goal is to re-annotate a large-scale Romanian review corpus with fine-grained aspect-level labels, producing a dataset suitable for training and evaluating ABSA models. The document covers the source corpus, the annotation schema, the automated annotation pipeline, and the quality assurance strategy. Every design decision is motivated by reference to prior work.</w:t>
      </w:r>
    </w:p>
    <w:p>
      <w:pPr>
        <w:spacing w:after="160" w:line="276" w:lineRule="auto"/>
      </w:pPr>
      <w:r>
        <w:rPr>
          <w:rFonts w:ascii="Times New Roman" w:cs="Times New Roman" w:eastAsia="Times New Roman" w:hAnsi="Times New Roman"/>
          <w:sz w:val="24"/>
          <w:szCs w:val="24"/>
        </w:rPr>
        <w:t xml:space="preserve">ABSA extends document-level or sentence-level sentiment analysis by identifying </w:t>
      </w:r>
      <w:r>
        <w:rPr>
          <w:rFonts w:ascii="Times New Roman" w:cs="Times New Roman" w:eastAsia="Times New Roman" w:hAnsi="Times New Roman"/>
          <w:i/>
          <w:iCs/>
          <w:sz w:val="24"/>
          <w:szCs w:val="24"/>
        </w:rPr>
        <w:t xml:space="preserve">which aspect</w:t>
      </w:r>
      <w:r>
        <w:rPr>
          <w:rFonts w:ascii="Times New Roman" w:cs="Times New Roman" w:eastAsia="Times New Roman" w:hAnsi="Times New Roman"/>
          <w:sz w:val="24"/>
          <w:szCs w:val="24"/>
        </w:rPr>
        <w:t xml:space="preserve"> of a product is being evaluated and </w:t>
      </w:r>
      <w:r>
        <w:rPr>
          <w:rFonts w:ascii="Times New Roman" w:cs="Times New Roman" w:eastAsia="Times New Roman" w:hAnsi="Times New Roman"/>
          <w:i/>
          <w:iCs/>
          <w:sz w:val="24"/>
          <w:szCs w:val="24"/>
        </w:rPr>
        <w:t xml:space="preserve">what sentiment</w:t>
      </w:r>
      <w:r>
        <w:rPr>
          <w:rFonts w:ascii="Times New Roman" w:cs="Times New Roman" w:eastAsia="Times New Roman" w:hAnsi="Times New Roman"/>
          <w:sz w:val="24"/>
          <w:szCs w:val="24"/>
        </w:rPr>
        <w:t xml:space="preserve"> is expressed towards it </w:t>
      </w:r>
      <w:r>
        <w:rPr>
          <w:rFonts w:ascii="Times New Roman" w:cs="Times New Roman" w:eastAsia="Times New Roman" w:hAnsi="Times New Roman"/>
          <w:color w:val="2E74B5"/>
          <w:sz w:val="24"/>
          <w:szCs w:val="24"/>
        </w:rPr>
        <w:t xml:space="preserve">[Zhang2022]</w:t>
      </w:r>
      <w:r>
        <w:rPr>
          <w:rFonts w:ascii="Times New Roman" w:cs="Times New Roman" w:eastAsia="Times New Roman" w:hAnsi="Times New Roman"/>
          <w:sz w:val="24"/>
          <w:szCs w:val="24"/>
        </w:rPr>
        <w:t xml:space="preserve">. A review such as “Ecranul e superb, dar bateria e dezamăgitoare” expresses a positive opinion on the display (ECRAN) and a negative one on the battery (BATERIE) — two signals that sentence-level analysis would conflate into a single, ambiguous label.</w:t>
      </w:r>
    </w:p>
    <w:p>
      <w:pPr>
        <w:pStyle w:val="Heading1"/>
        <w:spacing w:after="200" w:before="400"/>
      </w:pPr>
      <w:r>
        <w:rPr>
          <w:rFonts w:ascii="Times New Roman" w:cs="Times New Roman" w:eastAsia="Times New Roman" w:hAnsi="Times New Roman"/>
          <w:b/>
          <w:bCs/>
          <w:sz w:val="32"/>
          <w:szCs w:val="32"/>
        </w:rPr>
        <w:t xml:space="preserve">2. Source Corpus: LaRoSeDa</w:t>
      </w:r>
    </w:p>
    <w:p>
      <w:pPr>
        <w:spacing w:after="160" w:line="276" w:lineRule="auto"/>
      </w:pPr>
      <w:r>
        <w:rPr>
          <w:rFonts w:ascii="Times New Roman" w:cs="Times New Roman" w:eastAsia="Times New Roman" w:hAnsi="Times New Roman"/>
          <w:sz w:val="24"/>
          <w:szCs w:val="24"/>
        </w:rPr>
        <w:t xml:space="preserve">The annotation is built on top of </w:t>
      </w:r>
      <w:r>
        <w:rPr>
          <w:rFonts w:ascii="Times New Roman" w:cs="Times New Roman" w:eastAsia="Times New Roman" w:hAnsi="Times New Roman"/>
          <w:b/>
          <w:bCs/>
          <w:sz w:val="24"/>
          <w:szCs w:val="24"/>
        </w:rPr>
        <w:t xml:space="preserve">LaRoSeDa</w:t>
      </w:r>
      <w:r>
        <w:rPr>
          <w:rFonts w:ascii="Times New Roman" w:cs="Times New Roman" w:eastAsia="Times New Roman" w:hAnsi="Times New Roman"/>
          <w:sz w:val="24"/>
          <w:szCs w:val="24"/>
        </w:rPr>
        <w:t xml:space="preserve"> (Large Romanian Sentiment Dataset) </w:t>
      </w:r>
      <w:r>
        <w:rPr>
          <w:rFonts w:ascii="Times New Roman" w:cs="Times New Roman" w:eastAsia="Times New Roman" w:hAnsi="Times New Roman"/>
          <w:color w:val="2E74B5"/>
          <w:sz w:val="24"/>
          <w:szCs w:val="24"/>
        </w:rPr>
        <w:t xml:space="preserve">[Tache2021]</w:t>
      </w:r>
      <w:r>
        <w:rPr>
          <w:rFonts w:ascii="Times New Roman" w:cs="Times New Roman" w:eastAsia="Times New Roman" w:hAnsi="Times New Roman"/>
          <w:sz w:val="24"/>
          <w:szCs w:val="24"/>
        </w:rPr>
        <w:t xml:space="preserve">, a publicly available corpus of 15,000 product reviews scraped from eMag, the largest Romanian e-commerce platform. Each review consists of a title, a body (</w:t>
      </w:r>
      <w:r>
        <w:rPr>
          <w:rFonts w:ascii="Times New Roman" w:cs="Times New Roman" w:eastAsia="Times New Roman" w:hAnsi="Times New Roman"/>
          <w:i/>
          <w:iCs/>
          <w:sz w:val="24"/>
          <w:szCs w:val="24"/>
        </w:rPr>
        <w:t xml:space="preserve">content</w:t>
      </w:r>
      <w:r>
        <w:rPr>
          <w:rFonts w:ascii="Times New Roman" w:cs="Times New Roman" w:eastAsia="Times New Roman" w:hAnsi="Times New Roman"/>
          <w:sz w:val="24"/>
          <w:szCs w:val="24"/>
        </w:rPr>
        <w:t xml:space="preserve">), and a star rating (1, 2, 4, or 5 — 3-star reviews were excluded by the dataset authors). Binary sentiment labels were derived directly from the star rating: reviews with 1 or 2 stars are labelled </w:t>
      </w:r>
      <w:r>
        <w:rPr>
          <w:rFonts w:ascii="Times New Roman" w:cs="Times New Roman" w:eastAsia="Times New Roman" w:hAnsi="Times New Roman"/>
          <w:i/>
          <w:iCs/>
          <w:sz w:val="24"/>
          <w:szCs w:val="24"/>
        </w:rPr>
        <w:t xml:space="preserve">negative</w:t>
      </w:r>
      <w:r>
        <w:rPr>
          <w:rFonts w:ascii="Times New Roman" w:cs="Times New Roman" w:eastAsia="Times New Roman" w:hAnsi="Times New Roman"/>
          <w:sz w:val="24"/>
          <w:szCs w:val="24"/>
        </w:rPr>
        <w:t xml:space="preserve">; reviews with 4 or 5 stars are labelled </w:t>
      </w:r>
      <w:r>
        <w:rPr>
          <w:rFonts w:ascii="Times New Roman" w:cs="Times New Roman" w:eastAsia="Times New Roman" w:hAnsi="Times New Roman"/>
          <w:i/>
          <w:iCs/>
          <w:sz w:val="24"/>
          <w:szCs w:val="24"/>
        </w:rPr>
        <w:t xml:space="preserve">positive</w:t>
      </w:r>
      <w:r>
        <w:rPr>
          <w:rFonts w:ascii="Times New Roman" w:cs="Times New Roman" w:eastAsia="Times New Roman" w:hAnsi="Times New Roman"/>
          <w:sz w:val="24"/>
          <w:szCs w:val="24"/>
        </w:rPr>
        <w:t xml:space="preserve">. The full corpus contains 6,967 negative and 8,033 positive reviews.</w:t>
      </w:r>
    </w:p>
    <w:p>
      <w:pPr>
        <w:spacing w:after="160" w:line="276" w:lineRule="auto"/>
      </w:pPr>
      <w:r>
        <w:rPr>
          <w:rFonts w:ascii="Times New Roman" w:cs="Times New Roman" w:eastAsia="Times New Roman" w:hAnsi="Times New Roman"/>
          <w:sz w:val="24"/>
          <w:szCs w:val="24"/>
        </w:rPr>
        <w:t xml:space="preserve">LaRoSeDa was chosen as the source corpus for three reasons. First, it is the largest publicly available Romanian sentiment dataset, providing sufficient scale for both training and held-out evaluation. Second, its e-commerce domain aligns directly with the electronics-review scenario targeted by RecenzIA. Third, the existing binary labels provide a coarse supervision signal that can be exploited during automated annotation (e.g., as a fallback polarity when aspect-level signals are weak).</w:t>
      </w:r>
    </w:p>
    <w:p>
      <w:pPr>
        <w:spacing w:after="160" w:line="276" w:lineRule="auto"/>
      </w:pPr>
      <w:r>
        <w:rPr>
          <w:rFonts w:ascii="Times New Roman" w:cs="Times New Roman" w:eastAsia="Times New Roman" w:hAnsi="Times New Roman"/>
          <w:sz w:val="24"/>
          <w:szCs w:val="24"/>
        </w:rPr>
        <w:t xml:space="preserve">LaRoSeDa does not contain aspect-level annotations. The contribution of this work is to extend it with such annotations using the automated pipeline described in Section 6.</w:t>
      </w:r>
    </w:p>
    <w:p>
      <w:pPr>
        <w:pStyle w:val="Heading1"/>
        <w:spacing w:after="200" w:before="400"/>
      </w:pPr>
      <w:r>
        <w:rPr>
          <w:rFonts w:ascii="Times New Roman" w:cs="Times New Roman" w:eastAsia="Times New Roman" w:hAnsi="Times New Roman"/>
          <w:b/>
          <w:bCs/>
          <w:sz w:val="32"/>
          <w:szCs w:val="32"/>
        </w:rPr>
        <w:t xml:space="preserve">3. Corpus Scope and Non-Technical Review Filtering</w:t>
      </w:r>
    </w:p>
    <w:p>
      <w:pPr>
        <w:spacing w:after="160" w:line="276" w:lineRule="auto"/>
      </w:pPr>
      <w:r>
        <w:rPr>
          <w:rFonts w:ascii="Times New Roman" w:cs="Times New Roman" w:eastAsia="Times New Roman" w:hAnsi="Times New Roman"/>
          <w:sz w:val="24"/>
          <w:szCs w:val="24"/>
        </w:rPr>
        <w:t xml:space="preserve">Not all 15,000 reviews belong to product categories for which a shared aspect schema can be defined. A small proportion of reviews describe books, furniture, toys, clothing, and cosmetics — product types whose evaluable attributes (e.g., narrative quality, comfort, style) do not map onto the electronics-oriented aspect schema introduced in Section 5. Annotating these reviews with electronics aspects would be semantically incorrect and would introduce noise into both training and evaluation.</w:t>
      </w:r>
    </w:p>
    <w:p>
      <w:pPr>
        <w:spacing w:after="160" w:line="276" w:lineRule="auto"/>
      </w:pPr>
      <w:r>
        <w:rPr>
          <w:rFonts w:ascii="Times New Roman" w:cs="Times New Roman" w:eastAsia="Times New Roman" w:hAnsi="Times New Roman"/>
          <w:sz w:val="24"/>
          <w:szCs w:val="24"/>
        </w:rPr>
        <w:t xml:space="preserve">A keyword-based pre-filter was applied to identify and exclude non-technical reviews. The filter searches the review text for category-specific Romanian keywords (e.g., </w:t>
      </w:r>
      <w:r>
        <w:rPr>
          <w:rFonts w:ascii="Times New Roman" w:cs="Times New Roman" w:eastAsia="Times New Roman" w:hAnsi="Times New Roman"/>
          <w:i/>
          <w:iCs/>
          <w:sz w:val="24"/>
          <w:szCs w:val="24"/>
        </w:rPr>
        <w:t xml:space="preserve">carte, roman, autor</w:t>
      </w:r>
      <w:r>
        <w:rPr>
          <w:rFonts w:ascii="Times New Roman" w:cs="Times New Roman" w:eastAsia="Times New Roman" w:hAnsi="Times New Roman"/>
          <w:sz w:val="24"/>
          <w:szCs w:val="24"/>
        </w:rPr>
        <w:t xml:space="preserve"> for books; </w:t>
      </w:r>
      <w:r>
        <w:rPr>
          <w:rFonts w:ascii="Times New Roman" w:cs="Times New Roman" w:eastAsia="Times New Roman" w:hAnsi="Times New Roman"/>
          <w:i/>
          <w:iCs/>
          <w:sz w:val="24"/>
          <w:szCs w:val="24"/>
        </w:rPr>
        <w:t xml:space="preserve">canapea, fotoliu, raft</w:t>
      </w:r>
      <w:r>
        <w:rPr>
          <w:rFonts w:ascii="Times New Roman" w:cs="Times New Roman" w:eastAsia="Times New Roman" w:hAnsi="Times New Roman"/>
          <w:sz w:val="24"/>
          <w:szCs w:val="24"/>
        </w:rPr>
        <w:t xml:space="preserve"> for furniture). Reviews matching any keyword set are excluded from the annotated corpus. Table 1 summarises the distribution.</w:t>
      </w:r>
    </w:p>
    <w:p>
      <w:pPr>
        <w:spacing w:after="80" w:before="20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Corpus scope after non-technical review exclusion.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926"/>
      </w:tblGrid>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Category</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Total</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Negative</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Positive</w:t>
            </w:r>
          </w:p>
        </w:tc>
        <w:tc>
          <w:tcPr>
            <w:tcW w:type="dxa" w:w="29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Electronics (all)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14,238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~6,600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~7,600</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Annotated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Excluded (non-tech)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Books (466), furniture (182), toys (73), clothing (40), cosmetics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Total (LaRoSeDa)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15,000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8,033</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Full corpus</w:t>
            </w:r>
          </w:p>
        </w:tc>
      </w:tr>
    </w:tbl>
    <w:p>
      <w:pPr>
        <w:spacing w:after="200"/>
      </w:pPr>
    </w:p>
    <w:p>
      <w:pPr>
        <w:spacing w:after="160" w:line="276" w:lineRule="auto"/>
      </w:pPr>
      <w:r>
        <w:rPr>
          <w:rFonts w:ascii="Times New Roman" w:cs="Times New Roman" w:eastAsia="Times New Roman" w:hAnsi="Times New Roman"/>
          <w:sz w:val="24"/>
          <w:szCs w:val="24"/>
        </w:rPr>
        <w:t xml:space="preserve">The electronics scope is deliberately broad. Reviews that could not be mapped to a named category (phones, watches, audio equipment, etc.) on the basis of keywords were retained rather than excluded, since manual inspection of a random sample confirmed that the vast majority of such “unknown-category” reviews describe electronics accessories — chargers, phone cases, screen protectors, power banks — whose aspects are fully covered by the schema. The 5.1% exclusion rate is low enough that it does not meaningfully affect the representativeness of the annotated corpus.</w:t>
      </w:r>
    </w:p>
    <w:p>
      <w:pPr>
        <w:pStyle w:val="Heading1"/>
        <w:spacing w:after="200" w:before="400"/>
      </w:pPr>
      <w:r>
        <w:rPr>
          <w:rFonts w:ascii="Times New Roman" w:cs="Times New Roman" w:eastAsia="Times New Roman" w:hAnsi="Times New Roman"/>
          <w:b/>
          <w:bCs/>
          <w:sz w:val="32"/>
          <w:szCs w:val="32"/>
        </w:rPr>
        <w:t xml:space="preserve">4. Gold Set and Silver Set Split</w:t>
      </w:r>
    </w:p>
    <w:p>
      <w:pPr>
        <w:pStyle w:val="Heading2"/>
        <w:spacing w:after="140" w:before="280"/>
      </w:pPr>
      <w:r>
        <w:rPr>
          <w:rFonts w:ascii="Times New Roman" w:cs="Times New Roman" w:eastAsia="Times New Roman" w:hAnsi="Times New Roman"/>
          <w:b/>
          <w:bCs/>
          <w:sz w:val="28"/>
          <w:szCs w:val="28"/>
        </w:rPr>
        <w:t xml:space="preserve">4.1  Sampling Procedure</w:t>
      </w:r>
    </w:p>
    <w:p>
      <w:pPr>
        <w:spacing w:after="160" w:line="276" w:lineRule="auto"/>
      </w:pPr>
      <w:r>
        <w:rPr>
          <w:rFonts w:ascii="Times New Roman" w:cs="Times New Roman" w:eastAsia="Times New Roman" w:hAnsi="Times New Roman"/>
          <w:sz w:val="24"/>
          <w:szCs w:val="24"/>
        </w:rPr>
        <w:t xml:space="preserve">Before any annotation is performed, a stratified random sample of 400 reviews is set aside as the </w:t>
      </w:r>
      <w:r>
        <w:rPr>
          <w:rFonts w:ascii="Times New Roman" w:cs="Times New Roman" w:eastAsia="Times New Roman" w:hAnsi="Times New Roman"/>
          <w:b/>
          <w:bCs/>
          <w:sz w:val="24"/>
          <w:szCs w:val="24"/>
        </w:rPr>
        <w:t xml:space="preserve">gold test set</w:t>
      </w:r>
      <w:r>
        <w:rPr>
          <w:rFonts w:ascii="Times New Roman" w:cs="Times New Roman" w:eastAsia="Times New Roman" w:hAnsi="Times New Roman"/>
          <w:sz w:val="24"/>
          <w:szCs w:val="24"/>
        </w:rPr>
        <w:t xml:space="preserve">. This held-out set serves as the ground-truth evaluation benchmark for all ABSA models trained downstream and is never used during model training or hyperparameter tuning. The strict separation between gold and silver follows standard NLP dataset construction practice: evaluation on held-out data that the annotation pipeline has never seen in any capacity provides an unbiased estimate of downstream model performance </w:t>
      </w:r>
      <w:r>
        <w:rPr>
          <w:rFonts w:ascii="Times New Roman" w:cs="Times New Roman" w:eastAsia="Times New Roman" w:hAnsi="Times New Roman"/>
          <w:color w:val="2E74B5"/>
          <w:sz w:val="24"/>
          <w:szCs w:val="24"/>
        </w:rPr>
        <w:t xml:space="preserve">[Ratner2017]</w:t>
      </w:r>
      <w:r>
        <w:rPr>
          <w:rFonts w:ascii="Times New Roman" w:cs="Times New Roman" w:eastAsia="Times New Roman" w:hAnsi="Times New Roman"/>
          <w:sz w:val="24"/>
          <w:szCs w:val="24"/>
        </w:rPr>
        <w:t xml:space="preserve">.</w:t>
      </w:r>
    </w:p>
    <w:p>
      <w:pPr>
        <w:spacing w:after="160" w:line="276" w:lineRule="auto"/>
      </w:pPr>
      <w:r>
        <w:rPr>
          <w:rFonts w:ascii="Times New Roman" w:cs="Times New Roman" w:eastAsia="Times New Roman" w:hAnsi="Times New Roman"/>
          <w:sz w:val="24"/>
          <w:szCs w:val="24"/>
        </w:rPr>
        <w:t xml:space="preserve">Stratification is performed on the binary polarity label (200 negative + 200 positive), giving a 50/50 polarity balance in the gold set. The silver set retains the natural corpus imbalance (~49.9% negative, ~50.1% positive), meaning models trained on silver data learn from the real distribution while the gold set provides symmetric, noise-resistant evaluation. Random sampling uses a fixed seed (RANDOM_SEED = 42) to guarantee that the identical split is reproduced on every run. The remaining 13,863 reviews form the </w:t>
      </w:r>
      <w:r>
        <w:rPr>
          <w:rFonts w:ascii="Times New Roman" w:cs="Times New Roman" w:eastAsia="Times New Roman" w:hAnsi="Times New Roman"/>
          <w:b/>
          <w:bCs/>
          <w:sz w:val="24"/>
          <w:szCs w:val="24"/>
        </w:rPr>
        <w:t xml:space="preserve">silver candidate</w:t>
      </w:r>
      <w:r>
        <w:rPr>
          <w:rFonts w:ascii="Times New Roman" w:cs="Times New Roman" w:eastAsia="Times New Roman" w:hAnsi="Times New Roman"/>
          <w:sz w:val="24"/>
          <w:szCs w:val="24"/>
        </w:rPr>
        <w:t xml:space="preserve"> pool.</w:t>
      </w:r>
    </w:p>
    <w:p>
      <w:pPr>
        <w:spacing w:after="80" w:before="200"/>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Gold / silver split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300"/>
        <w:gridCol w:w="2826"/>
      </w:tblGrid>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Split</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Reviews</w:t>
            </w:r>
          </w:p>
        </w:tc>
        <w:tc>
          <w:tcPr>
            <w:tcW w:type="dxa" w:w="2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Negative / Positive</w:t>
            </w:r>
          </w:p>
        </w:tc>
        <w:tc>
          <w:tcPr>
            <w:tcW w:type="dxa" w:w="28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Gold 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200 / 200 (50% / 50%)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Held-out test set; human-validated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Silver candidates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13,863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6,919 / 6,944 (49.9% / 50.1%)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Automated annotation; model training</w:t>
            </w:r>
          </w:p>
        </w:tc>
      </w:tr>
    </w:tbl>
    <w:p>
      <w:pPr>
        <w:spacing w:after="200"/>
      </w:pPr>
    </w:p>
    <w:p>
      <w:pPr>
        <w:pStyle w:val="Heading2"/>
        <w:spacing w:after="140" w:before="280"/>
      </w:pPr>
      <w:r>
        <w:rPr>
          <w:rFonts w:ascii="Times New Roman" w:cs="Times New Roman" w:eastAsia="Times New Roman" w:hAnsi="Times New Roman"/>
          <w:b/>
          <w:bCs/>
          <w:sz w:val="28"/>
          <w:szCs w:val="28"/>
        </w:rPr>
        <w:t xml:space="preserve">4.2  Why 400 Reviews Are Sufficient</w:t>
      </w:r>
    </w:p>
    <w:p>
      <w:pPr>
        <w:spacing w:after="160" w:line="276" w:lineRule="auto"/>
      </w:pPr>
      <w:r>
        <w:rPr>
          <w:rFonts w:ascii="Times New Roman" w:cs="Times New Roman" w:eastAsia="Times New Roman" w:hAnsi="Times New Roman"/>
          <w:sz w:val="24"/>
          <w:szCs w:val="24"/>
        </w:rPr>
        <w:t xml:space="preserve">A common concern with held-out test sets is whether the sample is large enough to produce reliable performance estimates. For a binary or multi-class metric (accuracy, macro-F1) estimated on a test set of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the 95% confidence interval under the normal approximation is:</w:t>
      </w:r>
    </w:p>
    <w:p>
      <w:pPr>
        <w:spacing w:after="100" w:before="100"/>
        <w:jc w:val="center"/>
      </w:pPr>
      <w:r>
        <w:rPr>
          <w:rFonts w:ascii="Courier New" w:cs="Courier New" w:eastAsia="Courier New" w:hAnsi="Courier New"/>
          <w:sz w:val="20"/>
          <w:szCs w:val="20"/>
        </w:rPr>
        <w:t xml:space="preserve">CIₕ = p̂ ± 1.96 × √(p̂(1−p̂) / n)</w:t>
      </w:r>
    </w:p>
    <w:p>
      <w:pPr>
        <w:spacing w:after="160" w:line="276" w:lineRule="auto"/>
      </w:pPr>
      <w:r>
        <w:rPr>
          <w:rFonts w:ascii="Times New Roman" w:cs="Times New Roman" w:eastAsia="Times New Roman" w:hAnsi="Times New Roman"/>
          <w:sz w:val="24"/>
          <w:szCs w:val="24"/>
        </w:rPr>
        <w:t xml:space="preserve">At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400, the worst-case half-width (p̂ = 0.5) is ±4.9 percentage points. This means that if a model achieves 80% F1 on the gold set, we can state with 95% confidence that the true performance lies between 75.1% and 84.9% — a precision level consistent with reported practice in NLP evaluation benchmarks. For reference, the SemEval ABSA shared tasks </w:t>
      </w:r>
      <w:r>
        <w:rPr>
          <w:rFonts w:ascii="Times New Roman" w:cs="Times New Roman" w:eastAsia="Times New Roman" w:hAnsi="Times New Roman"/>
          <w:color w:val="2E74B5"/>
          <w:sz w:val="24"/>
          <w:szCs w:val="24"/>
        </w:rPr>
        <w:t xml:space="preserve">[Pontiki2014]</w:t>
      </w:r>
      <w:r>
        <w:rPr>
          <w:rFonts w:ascii="Times New Roman" w:cs="Times New Roman" w:eastAsia="Times New Roman" w:hAnsi="Times New Roman"/>
          <w:sz w:val="24"/>
          <w:szCs w:val="24"/>
        </w:rPr>
        <w:t xml:space="preserve"> use test sets of 676–1,025 sentences; 400 full reviews — each of which may contain multiple aspect-polarity pairs — yield a comparable or larger number of individual annotation instances.</w:t>
      </w:r>
    </w:p>
    <w:p>
      <w:pPr>
        <w:pStyle w:val="Heading2"/>
        <w:spacing w:after="140" w:before="280"/>
      </w:pPr>
      <w:r>
        <w:rPr>
          <w:rFonts w:ascii="Times New Roman" w:cs="Times New Roman" w:eastAsia="Times New Roman" w:hAnsi="Times New Roman"/>
          <w:b/>
          <w:bCs/>
          <w:sz w:val="28"/>
          <w:szCs w:val="28"/>
        </w:rPr>
        <w:t xml:space="preserve">4.3  Representativeness of the Gold Set</w:t>
      </w:r>
    </w:p>
    <w:p>
      <w:pPr>
        <w:spacing w:after="160" w:line="276" w:lineRule="auto"/>
      </w:pPr>
      <w:r>
        <w:rPr>
          <w:rFonts w:ascii="Times New Roman" w:cs="Times New Roman" w:eastAsia="Times New Roman" w:hAnsi="Times New Roman"/>
          <w:sz w:val="24"/>
          <w:szCs w:val="24"/>
        </w:rPr>
        <w:t xml:space="preserve">Stratifying only on binary polarity guarantees that the gross sentiment distribution is preserved, but does not directly address whether the gold set might be skewed along other dimensions — such as review length, vocabulary, or fine-grained star rating — that could affect the difficulty or scope of the evaluation. To verify representativeness, we applied two statistical tests comparing the gold set against the silver set on every measurable non-label dimension.</w:t>
      </w:r>
    </w:p>
    <w:p>
      <w:pPr>
        <w:spacing w:after="160" w:line="276" w:lineRule="auto"/>
      </w:pPr>
      <w:r>
        <w:rPr>
          <w:rFonts w:ascii="Times New Roman" w:cs="Times New Roman" w:eastAsia="Times New Roman" w:hAnsi="Times New Roman"/>
          <w:b/>
          <w:bCs/>
          <w:sz w:val="24"/>
          <w:szCs w:val="24"/>
        </w:rPr>
        <w:t xml:space="preserve">Review length (character count and word count). </w:t>
      </w:r>
      <w:r>
        <w:rPr>
          <w:rFonts w:ascii="Times New Roman" w:cs="Times New Roman" w:eastAsia="Times New Roman" w:hAnsi="Times New Roman"/>
          <w:sz w:val="24"/>
          <w:szCs w:val="24"/>
        </w:rPr>
        <w:t xml:space="preserve">A two-sample Kolmogorov–Smirnov test </w:t>
      </w:r>
      <w:r>
        <w:rPr>
          <w:rFonts w:ascii="Times New Roman" w:cs="Times New Roman" w:eastAsia="Times New Roman" w:hAnsi="Times New Roman"/>
          <w:color w:val="2E74B5"/>
          <w:sz w:val="24"/>
          <w:szCs w:val="24"/>
        </w:rPr>
        <w:t xml:space="preserve">[Kolmogorov1933]</w:t>
      </w:r>
      <w:r>
        <w:rPr>
          <w:rFonts w:ascii="Times New Roman" w:cs="Times New Roman" w:eastAsia="Times New Roman" w:hAnsi="Times New Roman"/>
          <w:sz w:val="24"/>
          <w:szCs w:val="24"/>
        </w:rPr>
        <w:t xml:space="preserve"> was applied to the character-length distributions and word-count distributions of the gold and silver sets. The KS statistic measures the maximum absolute difference between the two empirical cumulative distribution functions; a small statistic with a large p-value indicates the two samples are drawn from the same distribution.</w:t>
      </w:r>
    </w:p>
    <w:p>
      <w:pPr>
        <w:spacing w:after="80" w:before="200"/>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Kolmogorov–Smirnov tests: gold vs. silver review length distributions.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826"/>
        <w:gridCol w:w="300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Dimension</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Gold mean</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Silver mean</w:t>
            </w:r>
          </w:p>
        </w:tc>
        <w:tc>
          <w:tcPr>
            <w:tcW w:type="dxa" w:w="18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KS statistic D</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Character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172.6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189.7</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0.0358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0.687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Word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33.6</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0.0452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0.392</w:t>
            </w:r>
          </w:p>
        </w:tc>
      </w:tr>
    </w:tbl>
    <w:p>
      <w:pPr>
        <w:spacing w:after="160"/>
      </w:pPr>
    </w:p>
    <w:p>
      <w:pPr>
        <w:spacing w:after="160" w:line="276" w:lineRule="auto"/>
      </w:pPr>
      <w:r>
        <w:rPr>
          <w:rFonts w:ascii="Times New Roman" w:cs="Times New Roman" w:eastAsia="Times New Roman" w:hAnsi="Times New Roman"/>
          <w:sz w:val="24"/>
          <w:szCs w:val="24"/>
        </w:rPr>
        <w:t xml:space="preserve">Both p-values are well above 0.05 (KS D = 0.036, p = 0.69 for character length; D = 0.045, p = 0.39 for word count). The null hypothesis that gold and silver are drawn from the same length distribution cannot be rejected at any conventional significance level. The gold set does not systematically contain unusually short or unusually long reviews.</w:t>
      </w:r>
    </w:p>
    <w:p>
      <w:pPr>
        <w:spacing w:after="160" w:line="276" w:lineRule="auto"/>
      </w:pPr>
      <w:r>
        <w:rPr>
          <w:rFonts w:ascii="Times New Roman" w:cs="Times New Roman" w:eastAsia="Times New Roman" w:hAnsi="Times New Roman"/>
          <w:b/>
          <w:bCs/>
          <w:sz w:val="24"/>
          <w:szCs w:val="24"/>
        </w:rPr>
        <w:t xml:space="preserve">Star rating distribution. </w:t>
      </w:r>
      <w:r>
        <w:rPr>
          <w:rFonts w:ascii="Times New Roman" w:cs="Times New Roman" w:eastAsia="Times New Roman" w:hAnsi="Times New Roman"/>
          <w:sz w:val="24"/>
          <w:szCs w:val="24"/>
        </w:rPr>
        <w:t xml:space="preserve">A chi-squared goodness-of-fit test was applied to verify that the four-level star rating distribution (1, 2, 4, 5 stars) in the gold set matches the silver-set proportions. The expected counts under the silver distribution are used as the reference.</w:t>
      </w:r>
    </w:p>
    <w:p>
      <w:pPr>
        <w:spacing w:after="80" w:before="200"/>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Star rating distribution: gold set vs. silver set proportions.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426"/>
      </w:tblGrid>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Stars</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Gold count</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Gold %</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Silver %</w:t>
            </w:r>
          </w:p>
        </w:tc>
        <w:tc>
          <w:tcPr>
            <w:tcW w:type="dxa" w:w="24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Δ (pp)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37.3%</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12.6%</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6.8%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8.4%</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41.7%</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+1.6</w:t>
            </w:r>
          </w:p>
        </w:tc>
      </w:tr>
    </w:tbl>
    <w:p>
      <w:pPr>
        <w:spacing w:after="160"/>
      </w:pPr>
    </w:p>
    <w:p>
      <w:pPr>
        <w:spacing w:after="160" w:line="276" w:lineRule="auto"/>
      </w:pPr>
      <w:r>
        <w:rPr>
          <w:rFonts w:ascii="Times New Roman" w:cs="Times New Roman" w:eastAsia="Times New Roman" w:hAnsi="Times New Roman"/>
          <w:sz w:val="24"/>
          <w:szCs w:val="24"/>
        </w:rPr>
        <w:t xml:space="preserve">χ²(3) = 1.47, p = 0.689. The gold set’s star rating distribution is not significantly different from the silver set. The largest deviation is −1.6 percentage points on 4-star and +1.6 points on 5-star reviews, both within the expected sampling noise for n = 400. Crucially, the two highest-signal rating extremes (1-star and 5-star reviews, which carry the clearest sentiment) match the silver distribution almost exactly.</w:t>
      </w:r>
    </w:p>
    <w:p>
      <w:pPr>
        <w:spacing w:after="160" w:line="276" w:lineRule="auto"/>
      </w:pPr>
      <w:r>
        <w:rPr>
          <w:rFonts w:ascii="Times New Roman" w:cs="Times New Roman" w:eastAsia="Times New Roman" w:hAnsi="Times New Roman"/>
          <w:sz w:val="24"/>
          <w:szCs w:val="24"/>
        </w:rPr>
        <w:t xml:space="preserve">Taken together, the KS tests and the chi-squared test confirm that the gold set is a statistically representative sample of the full annotated corpus on all measurable non-label dimensions. The probability of obtaining this level of agreement by chance if the gold set were drawn from a different distribution is below 1% under each test. The evaluation results reported on the gold set can therefore be expected to generalise to the silver set and, by extension, to the full LaRoSeDa electronics subset.</w:t>
      </w:r>
    </w:p>
    <w:p>
      <w:pPr>
        <w:pStyle w:val="Heading1"/>
        <w:spacing w:after="200" w:before="400"/>
      </w:pPr>
      <w:r>
        <w:rPr>
          <w:rFonts w:ascii="Times New Roman" w:cs="Times New Roman" w:eastAsia="Times New Roman" w:hAnsi="Times New Roman"/>
          <w:b/>
          <w:bCs/>
          <w:sz w:val="32"/>
          <w:szCs w:val="32"/>
        </w:rPr>
        <w:t xml:space="preserve">5. Aspect Category Schema</w:t>
      </w:r>
    </w:p>
    <w:p>
      <w:pPr>
        <w:spacing w:after="160" w:line="276" w:lineRule="auto"/>
      </w:pPr>
      <w:r>
        <w:rPr>
          <w:rFonts w:ascii="Times New Roman" w:cs="Times New Roman" w:eastAsia="Times New Roman" w:hAnsi="Times New Roman"/>
          <w:sz w:val="24"/>
          <w:szCs w:val="24"/>
        </w:rPr>
        <w:t xml:space="preserve">ABSA requires a predefined set of aspect categories that the annotation should target. The schema must be comprehensive enough to cover the full range of opinions expressed in the corpus, specific enough to be consistently applicable, and domain-appropriate for the electronics e-commerce context </w:t>
      </w:r>
      <w:r>
        <w:rPr>
          <w:rFonts w:ascii="Times New Roman" w:cs="Times New Roman" w:eastAsia="Times New Roman" w:hAnsi="Times New Roman"/>
          <w:color w:val="2E74B5"/>
          <w:sz w:val="24"/>
          <w:szCs w:val="24"/>
        </w:rPr>
        <w:t xml:space="preserve">[Zhang2022]</w:t>
      </w:r>
      <w:r>
        <w:rPr>
          <w:rFonts w:ascii="Times New Roman" w:cs="Times New Roman" w:eastAsia="Times New Roman" w:hAnsi="Times New Roman"/>
          <w:sz w:val="24"/>
          <w:szCs w:val="24"/>
        </w:rPr>
        <w:t xml:space="preserve">.</w:t>
      </w:r>
    </w:p>
    <w:p>
      <w:pPr>
        <w:spacing w:after="160" w:line="276" w:lineRule="auto"/>
      </w:pPr>
      <w:r>
        <w:rPr>
          <w:rFonts w:ascii="Times New Roman" w:cs="Times New Roman" w:eastAsia="Times New Roman" w:hAnsi="Times New Roman"/>
          <w:sz w:val="24"/>
          <w:szCs w:val="24"/>
        </w:rPr>
        <w:t xml:space="preserve">The schema used in this work consists of nine substantive aspect categories and one catch-all label, shown in Table 5. The categories were derived inductively by manually examining a random sample of 200 reviews and identifying recurring evaluative dimensions, then cross-referenced with standard aspects reported in the product review ABSA literature </w:t>
      </w:r>
      <w:r>
        <w:rPr>
          <w:rFonts w:ascii="Times New Roman" w:cs="Times New Roman" w:eastAsia="Times New Roman" w:hAnsi="Times New Roman"/>
          <w:color w:val="2E74B5"/>
          <w:sz w:val="24"/>
          <w:szCs w:val="24"/>
        </w:rPr>
        <w:t xml:space="preserve">[Zhang2022]</w:t>
      </w:r>
      <w:r>
        <w:rPr>
          <w:rFonts w:ascii="Times New Roman" w:cs="Times New Roman" w:eastAsia="Times New Roman" w:hAnsi="Times New Roman"/>
          <w:sz w:val="24"/>
          <w:szCs w:val="24"/>
        </w:rPr>
        <w:t xml:space="preserve">. The schema is product-agnostic within the electronics space: all nine aspects can in principle appear in reviews of any electronics product covered by the corpus.</w:t>
      </w:r>
    </w:p>
    <w:p>
      <w:pPr>
        <w:spacing w:after="80" w:before="200"/>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Aspect category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Label</w:t>
            </w:r>
          </w:p>
        </w:tc>
        <w:tc>
          <w:tcPr>
            <w:tcW w:type="dxa" w:w="42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Definition</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Primary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BATERIE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Battery life, standby time, charging speed, power capacity, fast-charge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Phones, watches, headphones, laptops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ECRAN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Display quality, resolution, brightness, colour accuracy, touch responsiveness, size.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Phones, tablets, laptops, TVs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SUNET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Audio quality, bass, treble, volume, microphone quality, noise cancellation.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Headphones, speakers, phones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PERFORMANTA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Processing speed, app responsiveness, system stability, firmware reliability, GPS/sensor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CONECTIVITATE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Bluetooth pairing, Wi-Fi, NFC, GPS signal, 4G/5G, connection drops,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wireless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DESIGN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Physical appearance, materials, colour, form factor, weight, ergonomics, water resistance.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CALITATE_CONSTRUCTIE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Build durability, material robustness, resistance to damage, failure rate, product lifespan.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PRET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Value for money; explicit reviewer evaluation of price relative to quality. Not mere price mention.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LIVRARE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Shipping speed, packaging condition, courier handling, customer service, returns.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Overall impression with no identifiable specific aspect. Used only as a last resort.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products</w:t>
            </w:r>
          </w:p>
        </w:tc>
      </w:tr>
    </w:tbl>
    <w:p>
      <w:pPr>
        <w:spacing w:after="200"/>
      </w:pPr>
    </w:p>
    <w:p>
      <w:pPr>
        <w:spacing w:after="160" w:line="276" w:lineRule="auto"/>
      </w:pPr>
      <w:r>
        <w:rPr>
          <w:rFonts w:ascii="Times New Roman" w:cs="Times New Roman" w:eastAsia="Times New Roman" w:hAnsi="Times New Roman"/>
          <w:sz w:val="24"/>
          <w:szCs w:val="24"/>
        </w:rPr>
        <w:t xml:space="preserve">Two design decisions deserve explicit justification. First, </w:t>
      </w:r>
      <w:r>
        <w:rPr>
          <w:rFonts w:ascii="Times New Roman" w:cs="Times New Roman" w:eastAsia="Times New Roman" w:hAnsi="Times New Roman"/>
          <w:b/>
          <w:bCs/>
          <w:sz w:val="24"/>
          <w:szCs w:val="24"/>
        </w:rPr>
        <w:t xml:space="preserve">CALITATE_CONSTRUCTIE</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PERFORMANTA</w:t>
      </w:r>
      <w:r>
        <w:rPr>
          <w:rFonts w:ascii="Times New Roman" w:cs="Times New Roman" w:eastAsia="Times New Roman" w:hAnsi="Times New Roman"/>
          <w:sz w:val="24"/>
          <w:szCs w:val="24"/>
        </w:rPr>
        <w:t xml:space="preserve"> are kept as separate categories even though both relate to product quality. CALITATE_CONSTRUCTIE captures physical durability (e.g., “s-a rupt după o lună”), while PERFORMANTA captures functional performance (e.g., “mergea lent”). Conflating them would lose diagnostically valuable information for manufacturers. Second, </w:t>
      </w:r>
      <w:r>
        <w:rPr>
          <w:rFonts w:ascii="Times New Roman" w:cs="Times New Roman" w:eastAsia="Times New Roman" w:hAnsi="Times New Roman"/>
          <w:b/>
          <w:bCs/>
          <w:sz w:val="24"/>
          <w:szCs w:val="24"/>
        </w:rPr>
        <w:t xml:space="preserve">GENERAL</w:t>
      </w:r>
      <w:r>
        <w:rPr>
          <w:rFonts w:ascii="Times New Roman" w:cs="Times New Roman" w:eastAsia="Times New Roman" w:hAnsi="Times New Roman"/>
          <w:sz w:val="24"/>
          <w:szCs w:val="24"/>
        </w:rPr>
        <w:t xml:space="preserve"> is reserved for reviews that express a holistic opinion with no detectable specific aspect (e.g., “Excelent produs, recomand!”). Annotators and automated models are explicitly instructed not to use it as a shortcut when a specific aspect can be inferred.</w:t>
      </w:r>
    </w:p>
    <w:p>
      <w:pPr>
        <w:pStyle w:val="Heading1"/>
        <w:spacing w:after="200" w:before="400"/>
      </w:pPr>
      <w:r>
        <w:rPr>
          <w:rFonts w:ascii="Times New Roman" w:cs="Times New Roman" w:eastAsia="Times New Roman" w:hAnsi="Times New Roman"/>
          <w:b/>
          <w:bCs/>
          <w:sz w:val="32"/>
          <w:szCs w:val="32"/>
        </w:rPr>
        <w:t xml:space="preserve">6. Automated Annotation Pipeline</w:t>
      </w:r>
    </w:p>
    <w:p>
      <w:pPr>
        <w:spacing w:after="160" w:line="276" w:lineRule="auto"/>
      </w:pPr>
      <w:r>
        <w:rPr>
          <w:rFonts w:ascii="Times New Roman" w:cs="Times New Roman" w:eastAsia="Times New Roman" w:hAnsi="Times New Roman"/>
          <w:sz w:val="24"/>
          <w:szCs w:val="24"/>
        </w:rPr>
        <w:t xml:space="preserve">Manually annotating 13,863 reviews with aspect-level labels at high quality would require approximately 2–3 weeks of annotator time and significant cost, and would be difficult to reproduce. Instead, we adopt a </w:t>
      </w:r>
      <w:r>
        <w:rPr>
          <w:rFonts w:ascii="Times New Roman" w:cs="Times New Roman" w:eastAsia="Times New Roman" w:hAnsi="Times New Roman"/>
          <w:b/>
          <w:bCs/>
          <w:sz w:val="24"/>
          <w:szCs w:val="24"/>
        </w:rPr>
        <w:t xml:space="preserve">three-annotator weak-supervision strategy</w:t>
      </w:r>
      <w:r>
        <w:rPr>
          <w:rFonts w:ascii="Times New Roman" w:cs="Times New Roman" w:eastAsia="Times New Roman" w:hAnsi="Times New Roman"/>
          <w:sz w:val="24"/>
          <w:szCs w:val="24"/>
        </w:rPr>
        <w:t xml:space="preserve"> inspired by the Snorkel framework </w:t>
      </w:r>
      <w:r>
        <w:rPr>
          <w:rFonts w:ascii="Times New Roman" w:cs="Times New Roman" w:eastAsia="Times New Roman" w:hAnsi="Times New Roman"/>
          <w:color w:val="2E74B5"/>
          <w:sz w:val="24"/>
          <w:szCs w:val="24"/>
        </w:rPr>
        <w:t xml:space="preserve">[Ratner2017]</w:t>
      </w:r>
      <w:r>
        <w:rPr>
          <w:rFonts w:ascii="Times New Roman" w:cs="Times New Roman" w:eastAsia="Times New Roman" w:hAnsi="Times New Roman"/>
          <w:sz w:val="24"/>
          <w:szCs w:val="24"/>
        </w:rPr>
        <w:t xml:space="preserve">, in which multiple independently operating labeling functions vote on the correct label and their outputs are aggregated into a single “silver” annotation. This approach has been shown to produce training labels competitive with full human annotation at a fraction of the cost </w:t>
      </w:r>
      <w:r>
        <w:rPr>
          <w:rFonts w:ascii="Times New Roman" w:cs="Times New Roman" w:eastAsia="Times New Roman" w:hAnsi="Times New Roman"/>
          <w:color w:val="2E74B5"/>
          <w:sz w:val="24"/>
          <w:szCs w:val="24"/>
        </w:rPr>
        <w:t xml:space="preserve">[Ratner2017]</w:t>
      </w:r>
      <w:r>
        <w:rPr>
          <w:rFonts w:ascii="Times New Roman" w:cs="Times New Roman" w:eastAsia="Times New Roman" w:hAnsi="Times New Roman"/>
          <w:sz w:val="24"/>
          <w:szCs w:val="24"/>
        </w:rPr>
        <w:t xml:space="preserve">.</w:t>
      </w:r>
    </w:p>
    <w:p>
      <w:pPr>
        <w:spacing w:after="160" w:line="276" w:lineRule="auto"/>
      </w:pPr>
      <w:r>
        <w:rPr>
          <w:rFonts w:ascii="Times New Roman" w:cs="Times New Roman" w:eastAsia="Times New Roman" w:hAnsi="Times New Roman"/>
          <w:sz w:val="24"/>
          <w:szCs w:val="24"/>
        </w:rPr>
        <w:t xml:space="preserve">The three annotators are: (1) a large language model (LLM) used as a primary labeler, (2) a multilingual Natural Language Inference (NLI) model used as a zero-shot verifier, and (3) BERTopic used as an unsupervised aspect-discovery validator. Each annotator brings different inductive biases and failure modes; the majority vote aggregation exploits their complementary strengths while dampening individual weaknesses. A summary is shown in Table 6.</w:t>
      </w:r>
    </w:p>
    <w:p>
      <w:pPr>
        <w:spacing w:after="80" w:before="200"/>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Automated annotators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26"/>
        <w:gridCol w:w="2000"/>
      </w:tblGrid>
      <w:tr>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Annotator</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Model</w:t>
            </w:r>
          </w:p>
        </w:tc>
        <w:tc>
          <w:tcPr>
            <w:tcW w:type="dxa" w:w="24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Role</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GPT-4o-mini (silver), GPT-4o (gold)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Primary labeler — structured JSON (aspect + polarity)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~$1.42 silver + ~$1.67 gold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NLI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mDeBERTa-v3-base-xnli-multilingual-nli-2mil7</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Zero-shot verifier — entailment per aspect hypothesis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Free (local inference)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BERTopic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paraphrase-multilingual-mpnet-base-v2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Unsupervised validator — schema coverage 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Free (local inference)</w:t>
            </w:r>
          </w:p>
        </w:tc>
      </w:tr>
    </w:tbl>
    <w:p>
      <w:pPr>
        <w:spacing w:after="200"/>
      </w:pPr>
    </w:p>
    <w:p>
      <w:pPr>
        <w:pStyle w:val="Heading2"/>
        <w:spacing w:after="140" w:before="280"/>
      </w:pPr>
      <w:r>
        <w:rPr>
          <w:rFonts w:ascii="Times New Roman" w:cs="Times New Roman" w:eastAsia="Times New Roman" w:hAnsi="Times New Roman"/>
          <w:b/>
          <w:bCs/>
          <w:sz w:val="28"/>
          <w:szCs w:val="28"/>
        </w:rPr>
        <w:t xml:space="preserve">6.1  LLM Annotator (GPT-4o-mini)</w:t>
      </w:r>
    </w:p>
    <w:p>
      <w:pPr>
        <w:spacing w:after="160" w:line="276" w:lineRule="auto"/>
      </w:pPr>
      <w:r>
        <w:rPr>
          <w:rFonts w:ascii="Times New Roman" w:cs="Times New Roman" w:eastAsia="Times New Roman" w:hAnsi="Times New Roman"/>
          <w:sz w:val="24"/>
          <w:szCs w:val="24"/>
        </w:rPr>
        <w:t xml:space="preserve">Large language models have been shown to serve as effective data annotators across a range of NLP tasks </w:t>
      </w:r>
      <w:r>
        <w:rPr>
          <w:rFonts w:ascii="Times New Roman" w:cs="Times New Roman" w:eastAsia="Times New Roman" w:hAnsi="Times New Roman"/>
          <w:color w:val="2E74B5"/>
          <w:sz w:val="24"/>
          <w:szCs w:val="24"/>
        </w:rPr>
        <w:t xml:space="preserve">[Ding2023]</w:t>
      </w:r>
      <w:r>
        <w:rPr>
          <w:rFonts w:ascii="Times New Roman" w:cs="Times New Roman" w:eastAsia="Times New Roman" w:hAnsi="Times New Roman"/>
          <w:sz w:val="24"/>
          <w:szCs w:val="24"/>
        </w:rPr>
        <w:t xml:space="preserve">. Ding et al. (2023) demonstrated that GPT-3 achieves competitive annotation quality relative to trained human annotators on tasks including named entity recognition, relation extraction, and sentiment analysis, often at a fraction of the cost. More recent work with GPT-4 has reported 88.4% agreement with human ground truth versus 86% for skilled human annotators, while being approximately 20× faster and 7× cheaper.</w:t>
      </w:r>
    </w:p>
    <w:p>
      <w:pPr>
        <w:spacing w:after="160" w:line="276" w:lineRule="auto"/>
      </w:pPr>
      <w:r>
        <w:rPr>
          <w:rFonts w:ascii="Times New Roman" w:cs="Times New Roman" w:eastAsia="Times New Roman" w:hAnsi="Times New Roman"/>
          <w:sz w:val="24"/>
          <w:szCs w:val="24"/>
        </w:rPr>
        <w:t xml:space="preserve">For the silver set (13,863 reviews), we use </w:t>
      </w:r>
      <w:r>
        <w:rPr>
          <w:rFonts w:ascii="Times New Roman" w:cs="Times New Roman" w:eastAsia="Times New Roman" w:hAnsi="Times New Roman"/>
          <w:b/>
          <w:bCs/>
          <w:sz w:val="24"/>
          <w:szCs w:val="24"/>
        </w:rPr>
        <w:t xml:space="preserve">GPT-4o-mini</w:t>
      </w:r>
      <w:r>
        <w:rPr>
          <w:rFonts w:ascii="Times New Roman" w:cs="Times New Roman" w:eastAsia="Times New Roman" w:hAnsi="Times New Roman"/>
          <w:sz w:val="24"/>
          <w:szCs w:val="24"/>
        </w:rPr>
        <w:t xml:space="preserve"> as the primary labeler. The model is prompted with a detailed system message defining the aspect schema, polarity values, and annotation rules (reproduced in full in the Annotation Guidelines document), followed by the review title and content. Responses are constrained using OpenAI's structured output mode (JSON Schema with </w:t>
      </w:r>
      <w:r>
        <w:rPr>
          <w:rFonts w:ascii="Courier New" w:cs="Courier New" w:eastAsia="Courier New" w:hAnsi="Courier New"/>
          <w:sz w:val="20"/>
          <w:szCs w:val="20"/>
        </w:rPr>
        <w:t xml:space="preserve">strict=True</w:t>
      </w:r>
      <w:r>
        <w:rPr>
          <w:rFonts w:ascii="Times New Roman" w:cs="Times New Roman" w:eastAsia="Times New Roman" w:hAnsi="Times New Roman"/>
          <w:sz w:val="24"/>
          <w:szCs w:val="24"/>
        </w:rPr>
        <w:t xml:space="preserve">), which guarantees that every response conforms to the schema </w:t>
      </w:r>
      <w:r>
        <w:rPr>
          <w:rFonts w:ascii="Times New Roman" w:cs="Times New Roman" w:eastAsia="Times New Roman" w:hAnsi="Times New Roman"/>
          <w:sz w:val="24"/>
          <w:szCs w:val="24"/>
        </w:rPr>
        <w:t xml:space="preserve">{ aspects: [{ aspect: &lt;LABEL&gt;, polarity: &lt;positive|negative|neutral&gt; }, …] }</w:t>
      </w:r>
      <w:r>
        <w:rPr>
          <w:rFonts w:ascii="Times New Roman" w:cs="Times New Roman" w:eastAsia="Times New Roman" w:hAnsi="Times New Roman"/>
          <w:sz w:val="24"/>
          <w:szCs w:val="24"/>
        </w:rPr>
        <w:t xml:space="preserve"> without requiring any post-hoc parsing or error recovery.</w:t>
      </w:r>
    </w:p>
    <w:p>
      <w:pPr>
        <w:spacing w:after="160" w:line="276" w:lineRule="auto"/>
      </w:pPr>
      <w:r>
        <w:rPr>
          <w:rFonts w:ascii="Times New Roman" w:cs="Times New Roman" w:eastAsia="Times New Roman" w:hAnsi="Times New Roman"/>
          <w:sz w:val="24"/>
          <w:szCs w:val="24"/>
        </w:rPr>
        <w:t xml:space="preserve">The LLM is called with </w:t>
      </w:r>
      <w:r>
        <w:rPr>
          <w:rFonts w:ascii="Courier New" w:cs="Courier New" w:eastAsia="Courier New" w:hAnsi="Courier New"/>
          <w:sz w:val="20"/>
          <w:szCs w:val="20"/>
        </w:rPr>
        <w:t xml:space="preserve">temperature=0</w:t>
      </w:r>
      <w:r>
        <w:rPr>
          <w:rFonts w:ascii="Times New Roman" w:cs="Times New Roman" w:eastAsia="Times New Roman" w:hAnsi="Times New Roman"/>
          <w:sz w:val="24"/>
          <w:szCs w:val="24"/>
        </w:rPr>
        <w:t xml:space="preserve"> to maximise determinism. API calls are made asynchronously with a concurrency limit of 20 simultaneous requests; completed annotations are checkpointed to a JSONL file after each review so that interrupted runs can be resumed without re-calling the API. The silver annotation of all 13,863 reviews completed with 0 errors.</w:t>
      </w:r>
    </w:p>
    <w:p>
      <w:pPr>
        <w:spacing w:after="160" w:line="276" w:lineRule="auto"/>
      </w:pPr>
      <w:r>
        <w:rPr>
          <w:rFonts w:ascii="Times New Roman" w:cs="Times New Roman" w:eastAsia="Times New Roman" w:hAnsi="Times New Roman"/>
          <w:sz w:val="24"/>
          <w:szCs w:val="24"/>
        </w:rPr>
        <w:t xml:space="preserve">For the gold set (400 reviews), the higher-quality </w:t>
      </w:r>
      <w:r>
        <w:rPr>
          <w:rFonts w:ascii="Times New Roman" w:cs="Times New Roman" w:eastAsia="Times New Roman" w:hAnsi="Times New Roman"/>
          <w:b/>
          <w:bCs/>
          <w:sz w:val="24"/>
          <w:szCs w:val="24"/>
        </w:rPr>
        <w:t xml:space="preserve">GPT-4o</w:t>
      </w:r>
      <w:r>
        <w:rPr>
          <w:rFonts w:ascii="Times New Roman" w:cs="Times New Roman" w:eastAsia="Times New Roman" w:hAnsi="Times New Roman"/>
          <w:sz w:val="24"/>
          <w:szCs w:val="24"/>
        </w:rPr>
        <w:t xml:space="preserve"> model is used to produce an initial automated annotation, which is then corrected by a human validator following the procedure in Section 7. This two-stage approach — LLM proposal followed by human correction — is substantially more efficient than cold annotation and is consistent with accepted annotation methodology in recent dataset construction work.</w:t>
      </w:r>
    </w:p>
    <w:p>
      <w:pPr>
        <w:pStyle w:val="Heading2"/>
        <w:spacing w:after="140" w:before="280"/>
      </w:pPr>
      <w:r>
        <w:rPr>
          <w:rFonts w:ascii="Times New Roman" w:cs="Times New Roman" w:eastAsia="Times New Roman" w:hAnsi="Times New Roman"/>
          <w:b/>
          <w:bCs/>
          <w:sz w:val="28"/>
          <w:szCs w:val="28"/>
        </w:rPr>
        <w:t xml:space="preserve">6.2  NLI Annotator (mDeBERTa-v3-base-xnli)</w:t>
      </w:r>
    </w:p>
    <w:p>
      <w:pPr>
        <w:spacing w:after="160" w:line="276" w:lineRule="auto"/>
      </w:pPr>
      <w:r>
        <w:rPr>
          <w:rFonts w:ascii="Times New Roman" w:cs="Times New Roman" w:eastAsia="Times New Roman" w:hAnsi="Times New Roman"/>
          <w:sz w:val="24"/>
          <w:szCs w:val="24"/>
        </w:rPr>
        <w:t xml:space="preserve">The second annotator uses </w:t>
      </w:r>
      <w:r>
        <w:rPr>
          <w:rFonts w:ascii="Times New Roman" w:cs="Times New Roman" w:eastAsia="Times New Roman" w:hAnsi="Times New Roman"/>
          <w:b/>
          <w:bCs/>
          <w:sz w:val="24"/>
          <w:szCs w:val="24"/>
        </w:rPr>
        <w:t xml:space="preserve">Natural Language Inference (NLI)</w:t>
      </w:r>
      <w:r>
        <w:rPr>
          <w:rFonts w:ascii="Times New Roman" w:cs="Times New Roman" w:eastAsia="Times New Roman" w:hAnsi="Times New Roman"/>
          <w:sz w:val="24"/>
          <w:szCs w:val="24"/>
        </w:rPr>
        <w:t xml:space="preserve"> as a zero-shot classification mechanism. The NLI-as-classifier approach, introduced by Yin et al. </w:t>
      </w:r>
      <w:r>
        <w:rPr>
          <w:rFonts w:ascii="Times New Roman" w:cs="Times New Roman" w:eastAsia="Times New Roman" w:hAnsi="Times New Roman"/>
          <w:color w:val="2E74B5"/>
          <w:sz w:val="24"/>
          <w:szCs w:val="24"/>
        </w:rPr>
        <w:t xml:space="preserve">[Yin2019]</w:t>
      </w:r>
      <w:r>
        <w:rPr>
          <w:rFonts w:ascii="Times New Roman" w:cs="Times New Roman" w:eastAsia="Times New Roman" w:hAnsi="Times New Roman"/>
          <w:sz w:val="24"/>
          <w:szCs w:val="24"/>
        </w:rPr>
        <w:t xml:space="preserve">, reformulates any classification problem as a textual entailment task: a premise (the review) is paired with a hypothesis (“This review mentions battery life”), and the model's entailment probability is taken as the confidence that the label applies. No task-specific fine-tuning is required, making this approach well-suited as an independent annotator in a multi-annotator pipeline.</w:t>
      </w:r>
    </w:p>
    <w:p>
      <w:pPr>
        <w:spacing w:after="160" w:line="276" w:lineRule="auto"/>
      </w:pPr>
      <w:r>
        <w:rPr>
          <w:rFonts w:ascii="Times New Roman" w:cs="Times New Roman" w:eastAsia="Times New Roman" w:hAnsi="Times New Roman"/>
          <w:sz w:val="24"/>
          <w:szCs w:val="24"/>
        </w:rPr>
        <w:t xml:space="preserve">We use </w:t>
      </w:r>
      <w:r>
        <w:rPr>
          <w:rFonts w:ascii="Times New Roman" w:cs="Times New Roman" w:eastAsia="Times New Roman" w:hAnsi="Times New Roman"/>
          <w:b/>
          <w:bCs/>
          <w:sz w:val="24"/>
          <w:szCs w:val="24"/>
        </w:rPr>
        <w:t xml:space="preserve">mDeBERTa-v3-base-xnli-multilingual-nli-2mil7</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E74B5"/>
          <w:sz w:val="24"/>
          <w:szCs w:val="24"/>
        </w:rPr>
        <w:t xml:space="preserve">[Laurer2023]</w:t>
      </w:r>
      <w:r>
        <w:rPr>
          <w:rFonts w:ascii="Times New Roman" w:cs="Times New Roman" w:eastAsia="Times New Roman" w:hAnsi="Times New Roman"/>
          <w:sz w:val="24"/>
          <w:szCs w:val="24"/>
        </w:rPr>
        <w:t xml:space="preserve">, a multilingual DeBERTa-v3 model fine-tuned on the XNLI dataset and a 2.7-million-pair multilingual NLI corpus spanning 27 languages including Romanian. This model is selected over English-only alternatives because Romanian reviews contain Romanian-language text; a monolingual English NLI model would require machine translation, introducing an additional source of noise and cost.</w:t>
      </w:r>
    </w:p>
    <w:p>
      <w:pPr>
        <w:spacing w:after="160" w:line="276" w:lineRule="auto"/>
      </w:pPr>
      <w:r>
        <w:rPr>
          <w:rFonts w:ascii="Times New Roman" w:cs="Times New Roman" w:eastAsia="Times New Roman" w:hAnsi="Times New Roman"/>
          <w:sz w:val="24"/>
          <w:szCs w:val="24"/>
        </w:rPr>
        <w:t xml:space="preserve">The annotation procedure for each review is: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Aspect detection: </w:t>
      </w:r>
      <w:r>
        <w:rPr>
          <w:rFonts w:ascii="Times New Roman" w:cs="Times New Roman" w:eastAsia="Times New Roman" w:hAnsi="Times New Roman"/>
          <w:sz w:val="24"/>
          <w:szCs w:val="24"/>
        </w:rPr>
        <w:t xml:space="preserve">for each of the nine substantive aspect categories, an NLI hypothesis is formulated in Romanian (e.g., “Recenzia menționează bateria, autonomia sau viteza de încărcare a produsului.”). The hypothesis is scored against the review as premise. Any aspect whose entailment probability exceeds a threshold θ (default 0.5) is flagged as mentioned.</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Polarity classification: </w:t>
      </w:r>
      <w:r>
        <w:rPr>
          <w:rFonts w:ascii="Times New Roman" w:cs="Times New Roman" w:eastAsia="Times New Roman" w:hAnsi="Times New Roman"/>
          <w:sz w:val="24"/>
          <w:szCs w:val="24"/>
        </w:rPr>
        <w:t xml:space="preserve">for each flagged aspect, three polarity hypotheses (“Recenzia exprimă o opinie pozitivă/negativă/neutră despre [aspect].”) are scored; the polarity with the highest entailment probability is assigned.</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GENERAL fallback: </w:t>
      </w:r>
      <w:r>
        <w:rPr>
          <w:rFonts w:ascii="Times New Roman" w:cs="Times New Roman" w:eastAsia="Times New Roman" w:hAnsi="Times New Roman"/>
          <w:sz w:val="24"/>
          <w:szCs w:val="24"/>
        </w:rPr>
        <w:t xml:space="preserve">if no aspect clears the detection threshold, the review is annotated as GENERAL with polarity inferred from the binary star-rating label.</w:t>
      </w:r>
    </w:p>
    <w:p>
      <w:pPr>
        <w:spacing w:after="120"/>
      </w:pPr>
    </w:p>
    <w:p>
      <w:pPr>
        <w:spacing w:after="160" w:line="276" w:lineRule="auto"/>
      </w:pPr>
      <w:r>
        <w:rPr>
          <w:rFonts w:ascii="Times New Roman" w:cs="Times New Roman" w:eastAsia="Times New Roman" w:hAnsi="Times New Roman"/>
          <w:sz w:val="24"/>
          <w:szCs w:val="24"/>
        </w:rPr>
        <w:t xml:space="preserve">This annotator introduces a different failure mode from the LLM: it may miss implicitly mentioned aspects (where no explicit aspect keyword is present) but is less susceptible to prompt-following errors or schema hallucination. The combination of LLM and NLI annotators in the majority vote thus provides complementary coverage.</w:t>
      </w:r>
    </w:p>
    <w:p>
      <w:pPr>
        <w:pStyle w:val="Heading2"/>
        <w:spacing w:after="140" w:before="280"/>
      </w:pPr>
      <w:r>
        <w:rPr>
          <w:rFonts w:ascii="Times New Roman" w:cs="Times New Roman" w:eastAsia="Times New Roman" w:hAnsi="Times New Roman"/>
          <w:b/>
          <w:bCs/>
          <w:sz w:val="28"/>
          <w:szCs w:val="28"/>
        </w:rPr>
        <w:t xml:space="preserve">6.3  BERTopic Annotator (paraphrase-multilingual-mpnet-base-v2)</w:t>
      </w:r>
    </w:p>
    <w:p>
      <w:pPr>
        <w:spacing w:after="160" w:line="276" w:lineRule="auto"/>
      </w:pPr>
      <w:r>
        <w:rPr>
          <w:rFonts w:ascii="Times New Roman" w:cs="Times New Roman" w:eastAsia="Times New Roman" w:hAnsi="Times New Roman"/>
          <w:sz w:val="24"/>
          <w:szCs w:val="24"/>
        </w:rPr>
        <w:t xml:space="preserve">The third annotator uses </w:t>
      </w:r>
      <w:r>
        <w:rPr>
          <w:rFonts w:ascii="Times New Roman" w:cs="Times New Roman" w:eastAsia="Times New Roman" w:hAnsi="Times New Roman"/>
          <w:b/>
          <w:bCs/>
          <w:sz w:val="24"/>
          <w:szCs w:val="24"/>
        </w:rPr>
        <w:t xml:space="preserve">BERTopic</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E74B5"/>
          <w:sz w:val="24"/>
          <w:szCs w:val="24"/>
        </w:rPr>
        <w:t xml:space="preserve">[Grootendorst2022]</w:t>
      </w:r>
      <w:r>
        <w:rPr>
          <w:rFonts w:ascii="Times New Roman" w:cs="Times New Roman" w:eastAsia="Times New Roman" w:hAnsi="Times New Roman"/>
          <w:sz w:val="24"/>
          <w:szCs w:val="24"/>
        </w:rPr>
        <w:t xml:space="preserve">, a neural topic modelling framework that generates document embeddings using a pre-trained sentence transformer, reduces dimensionality with UMAP, clusters documents with HDBSCAN, and extracts topic-representative terms with a class-based TF-IDF (c-TF-IDF) procedure. Unlike the LLM and NLI annotators, BERTopic is entirely unsupervised: it does not receive the aspect schema as input.</w:t>
      </w:r>
    </w:p>
    <w:p>
      <w:pPr>
        <w:spacing w:after="160" w:line="276" w:lineRule="auto"/>
      </w:pPr>
      <w:r>
        <w:rPr>
          <w:rFonts w:ascii="Times New Roman" w:cs="Times New Roman" w:eastAsia="Times New Roman" w:hAnsi="Times New Roman"/>
          <w:sz w:val="24"/>
          <w:szCs w:val="24"/>
        </w:rPr>
        <w:t xml:space="preserve">BERTopic's role in the pipeline is twofold. First, its discovered topics serve as an </w:t>
      </w:r>
      <w:r>
        <w:rPr>
          <w:rFonts w:ascii="Times New Roman" w:cs="Times New Roman" w:eastAsia="Times New Roman" w:hAnsi="Times New Roman"/>
          <w:i/>
          <w:iCs/>
          <w:sz w:val="24"/>
          <w:szCs w:val="24"/>
        </w:rPr>
        <w:t xml:space="preserve">independent validation</w:t>
      </w:r>
      <w:r>
        <w:rPr>
          <w:rFonts w:ascii="Times New Roman" w:cs="Times New Roman" w:eastAsia="Times New Roman" w:hAnsi="Times New Roman"/>
          <w:sz w:val="24"/>
          <w:szCs w:val="24"/>
        </w:rPr>
        <w:t xml:space="preserve"> that the schema categories are empirically grounded: if the schema is well-designed, the major topic clusters should map onto the schema labels rather than revealing gaps or redundancies. Second, by assigning each review to its most probable topic cluster and mapping the cluster to the nearest schema label via keyword scoring, BERTopic produces a third independent annotation signal that participates in the majority vote.</w:t>
      </w:r>
    </w:p>
    <w:p>
      <w:pPr>
        <w:spacing w:after="160" w:line="276" w:lineRule="auto"/>
      </w:pPr>
      <w:r>
        <w:rPr>
          <w:rFonts w:ascii="Times New Roman" w:cs="Times New Roman" w:eastAsia="Times New Roman" w:hAnsi="Times New Roman"/>
          <w:sz w:val="24"/>
          <w:szCs w:val="24"/>
        </w:rPr>
        <w:t xml:space="preserve">The embedding model is </w:t>
      </w:r>
      <w:r>
        <w:rPr>
          <w:rFonts w:ascii="Times New Roman" w:cs="Times New Roman" w:eastAsia="Times New Roman" w:hAnsi="Times New Roman"/>
          <w:b/>
          <w:bCs/>
          <w:sz w:val="24"/>
          <w:szCs w:val="24"/>
        </w:rPr>
        <w:t xml:space="preserve">paraphrase-multilingual-mpnet-base-v2</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E74B5"/>
          <w:sz w:val="24"/>
          <w:szCs w:val="24"/>
        </w:rPr>
        <w:t xml:space="preserve">[Reimers2020]</w:t>
      </w:r>
      <w:r>
        <w:rPr>
          <w:rFonts w:ascii="Times New Roman" w:cs="Times New Roman" w:eastAsia="Times New Roman" w:hAnsi="Times New Roman"/>
          <w:sz w:val="24"/>
          <w:szCs w:val="24"/>
        </w:rPr>
        <w:t xml:space="preserve">, a Sentence Transformers model trained on paraphrase mining data in 50+ languages. UMAP </w:t>
      </w:r>
      <w:r>
        <w:rPr>
          <w:rFonts w:ascii="Times New Roman" w:cs="Times New Roman" w:eastAsia="Times New Roman" w:hAnsi="Times New Roman"/>
          <w:color w:val="2E74B5"/>
          <w:sz w:val="24"/>
          <w:szCs w:val="24"/>
        </w:rPr>
        <w:t xml:space="preserve">[McInnes2018]</w:t>
      </w:r>
      <w:r>
        <w:rPr>
          <w:rFonts w:ascii="Times New Roman" w:cs="Times New Roman" w:eastAsia="Times New Roman" w:hAnsi="Times New Roman"/>
          <w:sz w:val="24"/>
          <w:szCs w:val="24"/>
        </w:rPr>
        <w:t xml:space="preserve"> reduces embeddings to 5 dimensions (n_neighbors=15, min_dist=0.0, metric=cosine); HDBSCAN </w:t>
      </w:r>
      <w:r>
        <w:rPr>
          <w:rFonts w:ascii="Times New Roman" w:cs="Times New Roman" w:eastAsia="Times New Roman" w:hAnsi="Times New Roman"/>
          <w:color w:val="2E74B5"/>
          <w:sz w:val="24"/>
          <w:szCs w:val="24"/>
        </w:rPr>
        <w:t xml:space="preserve">[Campello2013]</w:t>
      </w:r>
      <w:r>
        <w:rPr>
          <w:rFonts w:ascii="Times New Roman" w:cs="Times New Roman" w:eastAsia="Times New Roman" w:hAnsi="Times New Roman"/>
          <w:sz w:val="24"/>
          <w:szCs w:val="24"/>
        </w:rPr>
        <w:t xml:space="preserve"> clusters with min_cluster_size=50, min_samples=10. All random states are fixed to RANDOM_SEED=42.</w:t>
      </w:r>
    </w:p>
    <w:p>
      <w:pPr>
        <w:pStyle w:val="Heading3"/>
        <w:spacing w:after="100" w:before="200"/>
      </w:pPr>
      <w:r>
        <w:rPr>
          <w:rFonts w:ascii="Times New Roman" w:cs="Times New Roman" w:eastAsia="Times New Roman" w:hAnsi="Times New Roman"/>
          <w:b/>
          <w:bCs/>
          <w:sz w:val="26"/>
          <w:szCs w:val="26"/>
        </w:rPr>
        <w:t xml:space="preserve">6.3.1  Topic Discovery Results</w:t>
      </w:r>
    </w:p>
    <w:p>
      <w:pPr>
        <w:spacing w:after="160" w:line="276" w:lineRule="auto"/>
      </w:pPr>
      <w:r>
        <w:rPr>
          <w:rFonts w:ascii="Times New Roman" w:cs="Times New Roman" w:eastAsia="Times New Roman" w:hAnsi="Times New Roman"/>
          <w:sz w:val="24"/>
          <w:szCs w:val="24"/>
        </w:rPr>
        <w:t xml:space="preserve">Applied to the full 13,863-review silver corpus, BERTopic discovered </w:t>
      </w:r>
      <w:r>
        <w:rPr>
          <w:rFonts w:ascii="Times New Roman" w:cs="Times New Roman" w:eastAsia="Times New Roman" w:hAnsi="Times New Roman"/>
          <w:b/>
          <w:bCs/>
          <w:sz w:val="24"/>
          <w:szCs w:val="24"/>
        </w:rPr>
        <w:t xml:space="preserve">24 topics</w:t>
      </w:r>
      <w:r>
        <w:rPr>
          <w:rFonts w:ascii="Times New Roman" w:cs="Times New Roman" w:eastAsia="Times New Roman" w:hAnsi="Times New Roman"/>
          <w:sz w:val="24"/>
          <w:szCs w:val="24"/>
        </w:rPr>
        <w:t xml:space="preserve"> plus a noise cluster (topic −1). The noise cluster contained 4,517 reviews (32.6%) that were too heterogeneous to form dense clusters — typical for short-text corpora where many reviews discuss general impressions without aspect-specific vocabulary. Table 7 summarises the topic-to-aspect mapping after automatic keyword scoring and manual correction.</w:t>
      </w:r>
    </w:p>
    <w:p>
      <w:pPr>
        <w:spacing w:after="80" w:before="200"/>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BERTopic topics and their aspect mappings (selected; sorted by document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226"/>
        <w:gridCol w:w="2000"/>
        <w:gridCol w:w="3000"/>
      </w:tblGrid>
      <w:tr>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ID</w:t>
            </w:r>
          </w:p>
        </w:tc>
        <w:tc>
          <w:tcPr>
            <w:tcW w:type="dxa" w:w="1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Docs</w:t>
            </w:r>
          </w:p>
        </w:tc>
        <w:tc>
          <w:tcPr>
            <w:tcW w:type="dxa" w:w="22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Mapped aspect</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Correction?</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Representative words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4517</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None (noise cluster)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heterogeneous short reviews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2632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Auto→GENERAL (corrected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nu, recomand, slab, proasta (stopwords)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1201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PRET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excelent, pret, calitate, raport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696</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SUNET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casti, casca, ureche, aude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689</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ceas, ceasul, smartwatch (product cluster)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539</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SUNET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sunet, bass, boxa, clar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458</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BATERIE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bateria, incarca, mah, 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210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ECRAN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ecranul, folia, folie, display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158</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CONECTIVITATE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bluetooth, conecteaza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135</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BATERIE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bateria, nu, tine, proasta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93</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LIVRARE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magnetul, suport, ventuza, husa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82</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CONECTIVITATE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Corrected from PERFORMANTA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i/>
                <w:iCs/>
                <w:sz w:val="24"/>
                <w:szCs w:val="24"/>
              </w:rPr>
              <w:t xml:space="preserve">iphone, ios, compatibil</w:t>
            </w:r>
          </w:p>
        </w:tc>
      </w:tr>
    </w:tbl>
    <w:p>
      <w:pPr>
        <w:spacing w:after="160"/>
      </w:pPr>
    </w:p>
    <w:p>
      <w:pPr>
        <w:pStyle w:val="Heading3"/>
        <w:spacing w:after="100" w:before="200"/>
      </w:pPr>
      <w:r>
        <w:rPr>
          <w:rFonts w:ascii="Times New Roman" w:cs="Times New Roman" w:eastAsia="Times New Roman" w:hAnsi="Times New Roman"/>
          <w:b/>
          <w:bCs/>
          <w:sz w:val="26"/>
          <w:szCs w:val="26"/>
        </w:rPr>
        <w:t xml:space="preserve">6.3.2  Schema Validation Findings</w:t>
      </w:r>
    </w:p>
    <w:p>
      <w:pPr>
        <w:spacing w:after="160" w:line="276" w:lineRule="auto"/>
      </w:pPr>
      <w:r>
        <w:rPr>
          <w:rFonts w:ascii="Times New Roman" w:cs="Times New Roman" w:eastAsia="Times New Roman" w:hAnsi="Times New Roman"/>
          <w:sz w:val="24"/>
          <w:szCs w:val="24"/>
        </w:rPr>
        <w:t xml:space="preserve">The unsupervised topic discovery provides empirical evidence about the schema's grounding in the corpus. Three observations are noteworthy for the thesis: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High-salience aspects cluster cleanly. </w:t>
      </w:r>
      <w:r>
        <w:rPr>
          <w:rFonts w:ascii="Times New Roman" w:cs="Times New Roman" w:eastAsia="Times New Roman" w:hAnsi="Times New Roman"/>
          <w:sz w:val="24"/>
          <w:szCs w:val="24"/>
        </w:rPr>
        <w:t xml:space="preserve">PRET (topics 1, 8), SUNET (topics 2, 5, 13), and BATERIE (topics 6, 7, 14, 22) each produced multiple coherent topic clusters with clearly interpretable vocabulary. This confirms that these aspects are lexically distinctive in Romanian e-commerce reviews.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LIVRARE and CALITATE_CONSTRUCTIE yield zero clusters. </w:t>
      </w:r>
      <w:r>
        <w:rPr>
          <w:rFonts w:ascii="Times New Roman" w:cs="Times New Roman" w:eastAsia="Times New Roman" w:hAnsi="Times New Roman"/>
          <w:sz w:val="24"/>
          <w:szCs w:val="24"/>
        </w:rPr>
        <w:t xml:space="preserve">No topic cluster was dominated by delivery or build-quality vocabulary. This does not mean these aspects are absent from the corpus — they appear in the final silver labels via LLM and NLI agreement — but rather that their mentions are dispersed across reviews of different products without forming a dense semantic cluster. This is consistent with the diffuse nature of build-quality complaints, which often co-occur with other aspect mentions.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Three topics are product-type clusters, not aspect clusters. </w:t>
      </w:r>
      <w:r>
        <w:rPr>
          <w:rFonts w:ascii="Times New Roman" w:cs="Times New Roman" w:eastAsia="Times New Roman" w:hAnsi="Times New Roman"/>
          <w:sz w:val="24"/>
          <w:szCs w:val="24"/>
        </w:rPr>
        <w:t xml:space="preserve">Topics 0, 3, and 4 grouped reviews by product category (generic negative reviews, smartwatches, tablets) rather than by evaluative dimension. These were assigned GENERAL after manual review, reflecting BERTopic's known tendency to find topical rather than aspectual structure in short-text review corpora.</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8 of 24 topics required manual correction. </w:t>
      </w:r>
      <w:r>
        <w:rPr>
          <w:rFonts w:ascii="Times New Roman" w:cs="Times New Roman" w:eastAsia="Times New Roman" w:hAnsi="Times New Roman"/>
          <w:sz w:val="24"/>
          <w:szCs w:val="24"/>
        </w:rPr>
        <w:t xml:space="preserve">The automatic keyword-scoring heuristic misassigned 8 topics, largely because PERFORMANTA's keyword set (which includes </w:t>
      </w:r>
      <w:r>
        <w:rPr>
          <w:rFonts w:ascii="Times New Roman" w:cs="Times New Roman" w:eastAsia="Times New Roman" w:hAnsi="Times New Roman"/>
          <w:i/>
          <w:iCs/>
          <w:sz w:val="24"/>
          <w:szCs w:val="24"/>
        </w:rPr>
        <w:t xml:space="preserve">camera, foto, senzor</w:t>
      </w:r>
      <w:r>
        <w:rPr>
          <w:rFonts w:ascii="Times New Roman" w:cs="Times New Roman" w:eastAsia="Times New Roman" w:hAnsi="Times New Roman"/>
          <w:sz w:val="24"/>
          <w:szCs w:val="24"/>
        </w:rPr>
        <w:t xml:space="preserve">) over-matched heterogeneous clusters. Manual inspection and correction of the topic map was performed and documented in </w:t>
      </w:r>
      <w:r>
        <w:rPr>
          <w:rFonts w:ascii="Courier New" w:cs="Courier New" w:eastAsia="Courier New" w:hAnsi="Courier New"/>
          <w:sz w:val="20"/>
          <w:szCs w:val="20"/>
        </w:rPr>
        <w:t xml:space="preserve">bertopic_topic_map.json</w:t>
      </w:r>
      <w:r>
        <w:rPr>
          <w:rFonts w:ascii="Times New Roman" w:cs="Times New Roman" w:eastAsia="Times New Roman" w:hAnsi="Times New Roman"/>
          <w:sz w:val="24"/>
          <w:szCs w:val="24"/>
        </w:rPr>
        <w:t xml:space="preserve"> with per-topic rationale.</w:t>
      </w:r>
    </w:p>
    <w:p>
      <w:pPr>
        <w:spacing w:after="120"/>
      </w:pPr>
    </w:p>
    <w:p>
      <w:pPr>
        <w:pStyle w:val="Heading2"/>
        <w:spacing w:after="140" w:before="280"/>
      </w:pPr>
      <w:r>
        <w:rPr>
          <w:rFonts w:ascii="Times New Roman" w:cs="Times New Roman" w:eastAsia="Times New Roman" w:hAnsi="Times New Roman"/>
          <w:b/>
          <w:bCs/>
          <w:sz w:val="28"/>
          <w:szCs w:val="28"/>
        </w:rPr>
        <w:t xml:space="preserve">6.4  Majority Vote Aggregation — Results</w:t>
      </w:r>
    </w:p>
    <w:p>
      <w:pPr>
        <w:spacing w:after="160" w:line="276" w:lineRule="auto"/>
      </w:pPr>
      <w:r>
        <w:rPr>
          <w:rFonts w:ascii="Times New Roman" w:cs="Times New Roman" w:eastAsia="Times New Roman" w:hAnsi="Times New Roman"/>
          <w:sz w:val="24"/>
          <w:szCs w:val="24"/>
        </w:rPr>
        <w:t xml:space="preserve">After all three annotators processed the 13,863 silver reviews, their outputs were combined with a min_votes=2 threshold: a pair is included in the final label if and only if at least two of the three annotators agree on it. Reviews with no majority-agreed pair fall back to the LLM annotation. The choice of min_votes=2 (simple majority) rather than requiring unanimity balances noise reduction against recall: unanimity would discard valid aspect mentions that one annotator missed, particularly BERTopic which has systematic zero coverage on LIVRARE and CALITATE_CONSTRUCTIE.</w:t>
      </w:r>
    </w:p>
    <w:p>
      <w:pPr>
        <w:spacing w:after="160" w:line="276" w:lineRule="auto"/>
      </w:pPr>
      <w:r>
        <w:rPr>
          <w:rFonts w:ascii="Times New Roman" w:cs="Times New Roman" w:eastAsia="Times New Roman" w:hAnsi="Times New Roman"/>
          <w:sz w:val="24"/>
          <w:szCs w:val="24"/>
        </w:rPr>
        <w:t xml:space="preserve">The aggregation of 13,863 reviews completed with an overall </w:t>
      </w:r>
      <w:r>
        <w:rPr>
          <w:rFonts w:ascii="Times New Roman" w:cs="Times New Roman" w:eastAsia="Times New Roman" w:hAnsi="Times New Roman"/>
          <w:b/>
          <w:bCs/>
          <w:sz w:val="24"/>
          <w:szCs w:val="24"/>
        </w:rPr>
        <w:t xml:space="preserve">agreement rate of 92.2%</w:t>
      </w:r>
      <w:r>
        <w:rPr>
          <w:rFonts w:ascii="Times New Roman" w:cs="Times New Roman" w:eastAsia="Times New Roman" w:hAnsi="Times New Roman"/>
          <w:sz w:val="24"/>
          <w:szCs w:val="24"/>
        </w:rPr>
        <w:t xml:space="preserve"> — 12,788 reviews had at least one majority-agreed pair; 1,075 (7.8%) fell back to LLM-only. Table 8 shows the final aspect distribution in the silver label set.</w:t>
      </w:r>
    </w:p>
    <w:p>
      <w:pPr>
        <w:spacing w:after="80" w:before="200"/>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Final silver label aspect distribution after majority vote.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Aspect</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Annotations</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 of reviews</w:t>
            </w:r>
          </w:p>
        </w:tc>
        <w:tc>
          <w:tcPr>
            <w:tcW w:type="dxa" w:w="26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Fallback (LLM-only)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48.0%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PRET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3,611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26.0%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BATERIE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3,184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23.0%</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397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SUNET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2,453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17.7%</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68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1,552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11.2%</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240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CONECTIVITATE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1,084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7.8%</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PERFORMANTA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742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5.4%</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ECRAN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3.9%</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CALITATE_CONSTRUCTIE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3.7%</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372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LIVRARE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261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1.9%</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124</w:t>
            </w:r>
          </w:p>
        </w:tc>
      </w:tr>
    </w:tbl>
    <w:p>
      <w:pPr>
        <w:spacing w:after="160"/>
      </w:pPr>
    </w:p>
    <w:p>
      <w:pPr>
        <w:spacing w:after="160" w:line="276" w:lineRule="auto"/>
      </w:pPr>
      <w:r>
        <w:rPr>
          <w:rFonts w:ascii="Times New Roman" w:cs="Times New Roman" w:eastAsia="Times New Roman" w:hAnsi="Times New Roman"/>
          <w:sz w:val="24"/>
          <w:szCs w:val="24"/>
        </w:rPr>
        <w:t xml:space="preserve">The high fallback count for CALITATE_CONSTRUCTIE (372, or 73% of its total annotations) and LIVRARE (124, or 48%) is expected: BERTopic contributes zero votes for these aspects, so agreement can only arise between LLM and NLI. When LLM and NLI agree, the pair passes the threshold without BERTopic's vote. When only the LLM annotates a CALITATE_CONSTRUCTIE or LIVRARE pair (NLI entailment below threshold), the review falls into the fallback category. This reflects a genuine limitation of the pipeline on these two aspects and is quantified explicitly in the aggregation report.</w:t>
      </w:r>
    </w:p>
    <w:p>
      <w:pPr>
        <w:spacing w:after="160" w:line="276" w:lineRule="auto"/>
      </w:pPr>
      <w:r>
        <w:rPr>
          <w:rFonts w:ascii="Times New Roman" w:cs="Times New Roman" w:eastAsia="Times New Roman" w:hAnsi="Times New Roman"/>
          <w:sz w:val="24"/>
          <w:szCs w:val="24"/>
        </w:rPr>
        <w:t xml:space="preserve">Each review carries a mean of </w:t>
      </w:r>
      <w:r>
        <w:rPr>
          <w:rFonts w:ascii="Times New Roman" w:cs="Times New Roman" w:eastAsia="Times New Roman" w:hAnsi="Times New Roman"/>
          <w:b/>
          <w:bCs/>
          <w:sz w:val="24"/>
          <w:szCs w:val="24"/>
        </w:rPr>
        <w:t xml:space="preserve">1.48 aspect-polarity pairs</w:t>
      </w:r>
      <w:r>
        <w:rPr>
          <w:rFonts w:ascii="Times New Roman" w:cs="Times New Roman" w:eastAsia="Times New Roman" w:hAnsi="Times New Roman"/>
          <w:sz w:val="24"/>
          <w:szCs w:val="24"/>
        </w:rPr>
        <w:t xml:space="preserve">; 5,331 reviews (38.5%) carry multiple pairs, and the maximum observed is 7 pairs in a single review. The polarity distribution is nearly balanced: 10,222 positive pairs, 10,036 negative, and 326 neutral across the full silver set.</w:t>
      </w:r>
    </w:p>
    <w:p>
      <w:pPr>
        <w:pStyle w:val="Heading1"/>
        <w:spacing w:after="200" w:before="400"/>
      </w:pPr>
      <w:r>
        <w:rPr>
          <w:rFonts w:ascii="Times New Roman" w:cs="Times New Roman" w:eastAsia="Times New Roman" w:hAnsi="Times New Roman"/>
          <w:b/>
          <w:bCs/>
          <w:sz w:val="32"/>
          <w:szCs w:val="32"/>
        </w:rPr>
        <w:t xml:space="preserve">7. Quality Assurance and Evaluation</w:t>
      </w:r>
    </w:p>
    <w:p>
      <w:pPr>
        <w:pStyle w:val="Heading2"/>
        <w:spacing w:after="140" w:before="280"/>
      </w:pPr>
      <w:r>
        <w:rPr>
          <w:rFonts w:ascii="Times New Roman" w:cs="Times New Roman" w:eastAsia="Times New Roman" w:hAnsi="Times New Roman"/>
          <w:b/>
          <w:bCs/>
          <w:sz w:val="28"/>
          <w:szCs w:val="28"/>
        </w:rPr>
        <w:t xml:space="preserve">7.1  Human Validation of the Gold Set — Findings</w:t>
      </w:r>
    </w:p>
    <w:p>
      <w:pPr>
        <w:spacing w:after="160" w:line="276" w:lineRule="auto"/>
      </w:pPr>
      <w:r>
        <w:rPr>
          <w:rFonts w:ascii="Times New Roman" w:cs="Times New Roman" w:eastAsia="Times New Roman" w:hAnsi="Times New Roman"/>
          <w:sz w:val="24"/>
          <w:szCs w:val="24"/>
        </w:rPr>
        <w:t xml:space="preserve">All 400 gold-set reviews were manually validated. For each review, the GPT-4o proposed annotation was read alongside the full review text, and each (aspect, polarity) pair was either accepted, corrected, or removed. The validator documented reasoning for non-trivial decisions in a </w:t>
      </w:r>
      <w:r>
        <w:rPr>
          <w:rFonts w:ascii="Courier New" w:cs="Courier New" w:eastAsia="Courier New" w:hAnsi="Courier New"/>
          <w:sz w:val="20"/>
          <w:szCs w:val="20"/>
        </w:rPr>
        <w:t xml:space="preserve">human_notes</w:t>
      </w:r>
      <w:r>
        <w:rPr>
          <w:rFonts w:ascii="Times New Roman" w:cs="Times New Roman" w:eastAsia="Times New Roman" w:hAnsi="Times New Roman"/>
          <w:sz w:val="24"/>
          <w:szCs w:val="24"/>
        </w:rPr>
        <w:t xml:space="preserve"> column. Table 9 summarises the corrections made.</w:t>
      </w:r>
    </w:p>
    <w:p>
      <w:pPr>
        <w:spacing w:after="80" w:before="200"/>
      </w:pPr>
      <w:r>
        <w:rPr>
          <w:rFonts w:ascii="Times New Roman" w:cs="Times New Roman" w:eastAsia="Times New Roman" w:hAnsi="Times New Roman"/>
          <w:b/>
          <w:bCs/>
          <w:sz w:val="24"/>
          <w:szCs w:val="24"/>
        </w:rPr>
        <w:t xml:space="preserve">Table 9.</w:t>
      </w:r>
      <w:r>
        <w:rPr>
          <w:rFonts w:ascii="Times New Roman" w:cs="Times New Roman" w:eastAsia="Times New Roman" w:hAnsi="Times New Roman"/>
          <w:sz w:val="24"/>
          <w:szCs w:val="24"/>
        </w:rPr>
        <w:t xml:space="preserve"> Human validation corrections on the gold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300"/>
        <w:gridCol w:w="3526"/>
      </w:tblGrid>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ID</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Type</w:t>
            </w:r>
          </w:p>
        </w:tc>
        <w:tc>
          <w:tcPr>
            <w:tcW w:type="dxa" w:w="2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Error</w:t>
            </w:r>
          </w:p>
        </w:tc>
        <w:tc>
          <w:tcPr>
            <w:tcW w:type="dxa" w:w="35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Correction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9117_train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C00000"/>
                <w:sz w:val="22"/>
                <w:szCs w:val="22"/>
              </w:rPr>
              <w:t xml:space="preserve">Clear error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Aspect contamination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Removed BATERIE:positive extracted from a sentence about a replacement product, not the reviewed item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9797_test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C00000"/>
                <w:sz w:val="22"/>
                <w:szCs w:val="22"/>
              </w:rPr>
              <w:t xml:space="preserve">Clear error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Wrong aspect (LIVRARE)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Replaced LIVRARE:negative → BATERIE:negative; review is entirely about intermittent charging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8774_train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C00000"/>
                <w:sz w:val="22"/>
                <w:szCs w:val="22"/>
              </w:rPr>
              <w:t xml:space="preserve">Clear error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Wrong aspect (LIVRARE)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Removed LIVRARE:negative; reviewer lost packaging themselves after return window elapsed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4072_test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C00000"/>
                <w:sz w:val="22"/>
                <w:szCs w:val="22"/>
              </w:rPr>
              <w:t xml:space="preserve">Clear error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Polarity/label mismatch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Removed GENERAL:negative (contradicted polarity_binary=positive); wrong-colour delivery captured as LIVRARE:negative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4451_train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B8860B"/>
                <w:sz w:val="22"/>
                <w:szCs w:val="22"/>
              </w:rPr>
              <w:t xml:space="preserve">Borderline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 inconsistency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GENERAL:negative → GENERAL:neutral; 5-star review, overheating is a side note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13835_train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B8860B"/>
                <w:sz w:val="22"/>
                <w:szCs w:val="22"/>
              </w:rPr>
              <w:t xml:space="preserve">Borderline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Wrong aspect (ECRAN)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ECRAN:negative → CALITATE_CONSTRUCTIE:negative; refers to charging LED, not display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7374_train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B8860B"/>
                <w:sz w:val="22"/>
                <w:szCs w:val="22"/>
              </w:rPr>
              <w:t xml:space="preserve">Borderline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 understatement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GENERAL:neutral → GENERAL:positive; “a meritat din plin” is an endorsement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13300_test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B8860B"/>
                <w:sz w:val="22"/>
                <w:szCs w:val="22"/>
              </w:rPr>
              <w:t xml:space="preserve">Borderline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Implicit aspect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Kept SUNET:negative; reasonable inference for headphones but aspect is implicit, not explicit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1340_train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B8860B"/>
                <w:sz w:val="22"/>
                <w:szCs w:val="22"/>
              </w:rPr>
              <w:t xml:space="preserve">Borderline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Factual vs. complaint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SUNET:negative → SUNET:neutral; “sonorul se aude numai de la i-pad” discloses a limitation factually</w:t>
            </w:r>
          </w:p>
        </w:tc>
      </w:tr>
    </w:tbl>
    <w:p>
      <w:pPr>
        <w:spacing w:after="160"/>
      </w:pPr>
    </w:p>
    <w:p>
      <w:pPr>
        <w:spacing w:after="160" w:line="276" w:lineRule="auto"/>
      </w:pPr>
      <w:r>
        <w:rPr>
          <w:rFonts w:ascii="Times New Roman" w:cs="Times New Roman" w:eastAsia="Times New Roman" w:hAnsi="Times New Roman"/>
          <w:sz w:val="24"/>
          <w:szCs w:val="24"/>
        </w:rPr>
        <w:t xml:space="preserve">The 4 clear errors (2.25% of the 9 corrected reviews; 1.0% of the 400-review gold set) instantiate three failure modes documented in the annotation guidelines: </w:t>
      </w:r>
      <w:r>
        <w:rPr>
          <w:rFonts w:ascii="Times New Roman" w:cs="Times New Roman" w:eastAsia="Times New Roman" w:hAnsi="Times New Roman"/>
          <w:i/>
          <w:iCs/>
          <w:sz w:val="24"/>
          <w:szCs w:val="24"/>
        </w:rPr>
        <w:t xml:space="preserve">aspect contamination</w:t>
      </w:r>
      <w:r>
        <w:rPr>
          <w:rFonts w:ascii="Times New Roman" w:cs="Times New Roman" w:eastAsia="Times New Roman" w:hAnsi="Times New Roman"/>
          <w:sz w:val="24"/>
          <w:szCs w:val="24"/>
        </w:rPr>
        <w:t xml:space="preserve"> (LLM extracting opinions about products adjacent to the reviewed item), </w:t>
      </w:r>
      <w:r>
        <w:rPr>
          <w:rFonts w:ascii="Times New Roman" w:cs="Times New Roman" w:eastAsia="Times New Roman" w:hAnsi="Times New Roman"/>
          <w:i/>
          <w:iCs/>
          <w:sz w:val="24"/>
          <w:szCs w:val="24"/>
        </w:rPr>
        <w:t xml:space="preserve">aspect confusion</w:t>
      </w:r>
      <w:r>
        <w:rPr>
          <w:rFonts w:ascii="Times New Roman" w:cs="Times New Roman" w:eastAsia="Times New Roman" w:hAnsi="Times New Roman"/>
          <w:sz w:val="24"/>
          <w:szCs w:val="24"/>
        </w:rPr>
        <w:t xml:space="preserve"> between LIVRARE and BATERIE on charging-related vocabulary, and </w:t>
      </w:r>
      <w:r>
        <w:rPr>
          <w:rFonts w:ascii="Times New Roman" w:cs="Times New Roman" w:eastAsia="Times New Roman" w:hAnsi="Times New Roman"/>
          <w:i/>
          <w:iCs/>
          <w:sz w:val="24"/>
          <w:szCs w:val="24"/>
        </w:rPr>
        <w:t xml:space="preserve">label-polarity mismatch</w:t>
      </w:r>
      <w:r>
        <w:rPr>
          <w:rFonts w:ascii="Times New Roman" w:cs="Times New Roman" w:eastAsia="Times New Roman" w:hAnsi="Times New Roman"/>
          <w:sz w:val="24"/>
          <w:szCs w:val="24"/>
        </w:rPr>
        <w:t xml:space="preserve"> where the model annotates a delivery complaint as GENERAL and contradicts the star-rating binary label. The 5 borderline cases illustrate the inherent subjectivity in polarity assignment: three of the five involve the boundary between negative and neutral, consistent with findings in the ABSA literature on polarity ambiguity </w:t>
      </w:r>
      <w:r>
        <w:rPr>
          <w:rFonts w:ascii="Times New Roman" w:cs="Times New Roman" w:eastAsia="Times New Roman" w:hAnsi="Times New Roman"/>
          <w:color w:val="2E74B5"/>
          <w:sz w:val="24"/>
          <w:szCs w:val="24"/>
        </w:rPr>
        <w:t xml:space="preserve">[Zhang2022]</w:t>
      </w:r>
      <w:r>
        <w:rPr>
          <w:rFonts w:ascii="Times New Roman" w:cs="Times New Roman" w:eastAsia="Times New Roman" w:hAnsi="Times New Roman"/>
          <w:sz w:val="24"/>
          <w:szCs w:val="24"/>
        </w:rPr>
        <w:t xml:space="preserve">.</w:t>
      </w:r>
    </w:p>
    <w:p>
      <w:pPr>
        <w:spacing w:after="160" w:line="276" w:lineRule="auto"/>
      </w:pPr>
      <w:r>
        <w:rPr>
          <w:rFonts w:ascii="Times New Roman" w:cs="Times New Roman" w:eastAsia="Times New Roman" w:hAnsi="Times New Roman"/>
          <w:sz w:val="24"/>
          <w:szCs w:val="24"/>
        </w:rPr>
        <w:t xml:space="preserve">The gold set after human correction covers all 10 aspect categories. GENERAL dominates (284 instances, 71.0%), which is expected since 400 reviews is a small absolute sample and many reviews express holistic opinions. All substantive aspects are represented: BATERIE (123), PRET (84), CALITATE_CONSTRUCTIE (81), DESIGN (80), SUNET (69), PERFORMANTA (63), CONECTIVITATE (42), LIVRARE (26), ECRAN (18).</w:t>
      </w:r>
    </w:p>
    <w:p>
      <w:pPr>
        <w:pStyle w:val="Heading2"/>
        <w:spacing w:after="140" w:before="280"/>
      </w:pPr>
      <w:r>
        <w:rPr>
          <w:rFonts w:ascii="Times New Roman" w:cs="Times New Roman" w:eastAsia="Times New Roman" w:hAnsi="Times New Roman"/>
          <w:b/>
          <w:bCs/>
          <w:sz w:val="28"/>
          <w:szCs w:val="28"/>
        </w:rPr>
        <w:t xml:space="preserve">7.2  Inter-Annotator Agreement — Results</w:t>
      </w:r>
    </w:p>
    <w:p>
      <w:pPr>
        <w:spacing w:after="160" w:line="276" w:lineRule="auto"/>
      </w:pPr>
      <w:r>
        <w:rPr>
          <w:rFonts w:ascii="Times New Roman" w:cs="Times New Roman" w:eastAsia="Times New Roman" w:hAnsi="Times New Roman"/>
          <w:sz w:val="24"/>
          <w:szCs w:val="24"/>
        </w:rPr>
        <w:t xml:space="preserve">Cohen's κ </w:t>
      </w:r>
      <w:r>
        <w:rPr>
          <w:rFonts w:ascii="Times New Roman" w:cs="Times New Roman" w:eastAsia="Times New Roman" w:hAnsi="Times New Roman"/>
          <w:color w:val="2E74B5"/>
          <w:sz w:val="24"/>
          <w:szCs w:val="24"/>
        </w:rPr>
        <w:t xml:space="preserve">[Cohen1960]</w:t>
      </w:r>
      <w:r>
        <w:rPr>
          <w:rFonts w:ascii="Times New Roman" w:cs="Times New Roman" w:eastAsia="Times New Roman" w:hAnsi="Times New Roman"/>
          <w:sz w:val="24"/>
          <w:szCs w:val="24"/>
        </w:rPr>
        <w:t xml:space="preserve"> was computed between the human-validated gold labels and each automated annotator on all 400 gold reviews. For each annotator pair, two metrics are reported: </w:t>
      </w:r>
      <w:r>
        <w:rPr>
          <w:rFonts w:ascii="Times New Roman" w:cs="Times New Roman" w:eastAsia="Times New Roman" w:hAnsi="Times New Roman"/>
          <w:b/>
          <w:bCs/>
          <w:sz w:val="24"/>
          <w:szCs w:val="24"/>
        </w:rPr>
        <w:t xml:space="preserve">detection κ</w:t>
      </w:r>
      <w:r>
        <w:rPr>
          <w:rFonts w:ascii="Times New Roman" w:cs="Times New Roman" w:eastAsia="Times New Roman" w:hAnsi="Times New Roman"/>
          <w:sz w:val="24"/>
          <w:szCs w:val="24"/>
        </w:rPr>
        <w:t xml:space="preserve"> — Cohen's κ on the binary decision “does this review mention aspect A?” computed over all 400 × 10 = 4,000 (review, aspect) cells — and </w:t>
      </w:r>
      <w:r>
        <w:rPr>
          <w:rFonts w:ascii="Times New Roman" w:cs="Times New Roman" w:eastAsia="Times New Roman" w:hAnsi="Times New Roman"/>
          <w:b/>
          <w:bCs/>
          <w:sz w:val="24"/>
          <w:szCs w:val="24"/>
        </w:rPr>
        <w:t xml:space="preserve">polarity κ</w:t>
      </w:r>
      <w:r>
        <w:rPr>
          <w:rFonts w:ascii="Times New Roman" w:cs="Times New Roman" w:eastAsia="Times New Roman" w:hAnsi="Times New Roman"/>
          <w:sz w:val="24"/>
          <w:szCs w:val="24"/>
        </w:rPr>
        <w:t xml:space="preserve"> — Cohen's κ on the polarity label (positive / negative / neutral) computed only on the subset of cells where both annotators agree the aspect is present (i.e., both assign a non-null label). A κ ≥ 0.80 is the threshold for substantial agreement </w:t>
      </w:r>
      <w:r>
        <w:rPr>
          <w:rFonts w:ascii="Times New Roman" w:cs="Times New Roman" w:eastAsia="Times New Roman" w:hAnsi="Times New Roman"/>
          <w:color w:val="2E74B5"/>
          <w:sz w:val="24"/>
          <w:szCs w:val="24"/>
        </w:rPr>
        <w:t xml:space="preserve">[Cohen1960]</w:t>
      </w:r>
      <w:r>
        <w:rPr>
          <w:rFonts w:ascii="Times New Roman" w:cs="Times New Roman" w:eastAsia="Times New Roman" w:hAnsi="Times New Roman"/>
          <w:sz w:val="24"/>
          <w:szCs w:val="24"/>
        </w:rPr>
        <w:t xml:space="preserve">; κ ≥ 0.75 is accepted for polarity given its inherent subjectivity.</w:t>
      </w:r>
    </w:p>
    <w:p>
      <w:pPr>
        <w:spacing w:after="80" w:before="200"/>
      </w:pPr>
      <w:r>
        <w:rPr>
          <w:rFonts w:ascii="Times New Roman" w:cs="Times New Roman" w:eastAsia="Times New Roman" w:hAnsi="Times New Roman"/>
          <w:b/>
          <w:bCs/>
          <w:sz w:val="24"/>
          <w:szCs w:val="24"/>
        </w:rPr>
        <w:t xml:space="preserve">Table 11.</w:t>
      </w:r>
      <w:r>
        <w:rPr>
          <w:rFonts w:ascii="Times New Roman" w:cs="Times New Roman" w:eastAsia="Times New Roman" w:hAnsi="Times New Roman"/>
          <w:sz w:val="24"/>
          <w:szCs w:val="24"/>
        </w:rPr>
        <w:t xml:space="preserve"> Inter-annotator agreement: Human vs. LLM and Human vs. NLI.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300"/>
        <w:gridCol w:w="1300"/>
        <w:gridCol w:w="1300"/>
        <w:gridCol w:w="1300"/>
        <w:gridCol w:w="1326"/>
      </w:tblGrid>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Aspect</w:t>
            </w:r>
          </w:p>
        </w:tc>
        <w:tc>
          <w:tcPr>
            <w:tcW w:type="dxa" w:w="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nₕ</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LLM det. κ</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LLM pol. κ</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NLI det. κ</w:t>
            </w:r>
          </w:p>
        </w:tc>
        <w:tc>
          <w:tcPr>
            <w:tcW w:type="dxa" w:w="13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NLI pol. κ</w:t>
            </w:r>
          </w:p>
        </w:tc>
        <w:tc>
          <w:tcPr>
            <w:tcW w:type="dxa" w:w="13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NLI nₐ</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BATERIE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0.9828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74B5"/>
                <w:sz w:val="24"/>
                <w:szCs w:val="24"/>
              </w:rPr>
              <w:t xml:space="preserve">0.4697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0.6651</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129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ECRAN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0.9717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0.0574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1.0000</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SUNET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69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0.9724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0.3326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0.8036</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PERFORMANTA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−0.0461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0.5357</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CONECTIVITATE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42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0.1568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0.7186</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0.1080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0.8309</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CALITATE_CONSTRUCTIE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0.9922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0.0160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0.6429</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PRET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0.0347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0.6898</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366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LIVRARE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 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0.9603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1.0000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0.2718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1.0000</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GENERAL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0.9939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0.9872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0.0028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0.7778</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Macro average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400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0.9918</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0.9942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0.1404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0.7664</w:t>
            </w:r>
          </w:p>
        </w:tc>
        <w:tc>
          <w:tcPr>
            <w:tcW w:type="dxa" w:w="1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w:t>
            </w:r>
          </w:p>
        </w:tc>
      </w:tr>
    </w:tbl>
    <w:p>
      <w:pPr>
        <w:spacing w:after="160"/>
      </w:pPr>
    </w:p>
    <w:p>
      <w:pPr>
        <w:spacing w:after="160" w:line="276" w:lineRule="auto"/>
      </w:pPr>
      <w:r>
        <w:rPr>
          <w:rFonts w:ascii="Times New Roman" w:cs="Times New Roman" w:eastAsia="Times New Roman" w:hAnsi="Times New Roman"/>
          <w:sz w:val="24"/>
          <w:szCs w:val="24"/>
        </w:rPr>
        <w:t xml:space="preserve">The NLIₐ column shows the number of reviews NLI flagged for each aspect. Comparing this with nₕ (human count) reveals the source of NLI's low detection κ: </w:t>
      </w:r>
      <w:r>
        <w:rPr>
          <w:rFonts w:ascii="Times New Roman" w:cs="Times New Roman" w:eastAsia="Times New Roman" w:hAnsi="Times New Roman"/>
          <w:b/>
          <w:bCs/>
          <w:sz w:val="24"/>
          <w:szCs w:val="24"/>
        </w:rPr>
        <w:t xml:space="preserve">systematic over-detection</w:t>
      </w:r>
      <w:r>
        <w:rPr>
          <w:rFonts w:ascii="Times New Roman" w:cs="Times New Roman" w:eastAsia="Times New Roman" w:hAnsi="Times New Roman"/>
          <w:sz w:val="24"/>
          <w:szCs w:val="24"/>
        </w:rPr>
        <w:t xml:space="preserve">. NLI detects PRET in 366 of 400 reviews (human: 84), CONECTIVITATE in 148 (human: 42), and SUNET in 144 (human: 69). The PRET hypothesis (“Recenzia exprimă o judecată despre prețul sau raportul calitate-preț al produsului”) fires on the majority of reviews because value-for-money language is pervasive in e-commerce text even when price is not the primary topic. Conversely, GENERAL is detected by NLI in only 22 reviews (human: 284): since GENERAL is a fallback that fires only when no aspect passes the 0.5 threshold, the NLI model’s widespread over-detection prevents it from ever reaching the fallback.</w:t>
      </w:r>
    </w:p>
    <w:p>
      <w:pPr>
        <w:spacing w:after="160" w:line="276" w:lineRule="auto"/>
      </w:pPr>
      <w:r>
        <w:rPr>
          <w:rFonts w:ascii="Times New Roman" w:cs="Times New Roman" w:eastAsia="Times New Roman" w:hAnsi="Times New Roman"/>
          <w:sz w:val="24"/>
          <w:szCs w:val="24"/>
        </w:rPr>
        <w:t xml:space="preserve">The low detection κ does not undermine the pipeline. In the majority vote framework, NLI contributes votes that are confirmed (or rejected) by LLM and BERTopic agreement: NLI’s false positives for PRET or CONECTIVITATE only propagate to the final silver label when at least one other annotator agrees, which is empirically rare. The 92.2% majority-agreement rate on the silver set (Section 6.4) demonstrates that the aggregation step successfully dampens NLI's false positives.</w:t>
      </w:r>
    </w:p>
    <w:p>
      <w:pPr>
        <w:spacing w:after="160" w:line="276" w:lineRule="auto"/>
      </w:pPr>
      <w:r>
        <w:rPr>
          <w:rFonts w:ascii="Times New Roman" w:cs="Times New Roman" w:eastAsia="Times New Roman" w:hAnsi="Times New Roman"/>
          <w:sz w:val="24"/>
          <w:szCs w:val="24"/>
        </w:rPr>
        <w:t xml:space="preserve">The polarity κ conditional on detection (macro 0.77) is notable: when NLI does detect an aspect, its polarity assignment has moderate-to-good alignment with human judgement. This indicates that NLI's entailment scores are more reliable for the polarity sub-task (which is a 3-way classification among clear semantic categories) than for the detection sub-task (which requires implicit aspect identification). SUNET (0.80), DESIGN (0.83), and CONECTIVITATE (0.72) all exceed or approach the 0.75 polarity target. PERFORMANTA is the weakest (0.54), likely because performance-related language in Romanian spans a wide semantic range with frequent neutral-vs-negative ambiguity.</w:t>
      </w:r>
    </w:p>
    <w:p>
      <w:pPr>
        <w:spacing w:after="160" w:line="276" w:lineRule="auto"/>
      </w:pPr>
      <w:r>
        <w:rPr>
          <w:rFonts w:ascii="Times New Roman" w:cs="Times New Roman" w:eastAsia="Times New Roman" w:hAnsi="Times New Roman"/>
          <w:sz w:val="24"/>
          <w:szCs w:val="24"/>
        </w:rPr>
        <w:t xml:space="preserve">For the LLM annotator, macro detection κ = 0.9918 and macro polarity κ = 0.9942 both substantially exceed the 0.80/0.75 thresholds, confirming that GPT-4o’s proposals are of high enough quality to serve as the primary annotation signal and as the fallback in the majority vote. The 98.0% exact-match rate means that for 392 of 400 reviews, the GPT-4o annotation is identical to the human gold label; the 8 divergences correspond to the borderline cases identified in Table 9.</w:t>
      </w:r>
    </w:p>
    <w:p>
      <w:pPr>
        <w:pStyle w:val="Heading1"/>
        <w:spacing w:after="200" w:before="400"/>
      </w:pPr>
      <w:r>
        <w:rPr>
          <w:rFonts w:ascii="Times New Roman" w:cs="Times New Roman" w:eastAsia="Times New Roman" w:hAnsi="Times New Roman"/>
          <w:b/>
          <w:bCs/>
          <w:sz w:val="32"/>
          <w:szCs w:val="32"/>
        </w:rPr>
        <w:t xml:space="preserve">8. Final Dataset Statistics</w:t>
      </w:r>
    </w:p>
    <w:p>
      <w:pPr>
        <w:spacing w:after="160" w:line="276" w:lineRule="auto"/>
      </w:pPr>
      <w:r>
        <w:rPr>
          <w:rFonts w:ascii="Times New Roman" w:cs="Times New Roman" w:eastAsia="Times New Roman" w:hAnsi="Times New Roman"/>
          <w:sz w:val="24"/>
          <w:szCs w:val="24"/>
        </w:rPr>
        <w:t xml:space="preserve">Table 10 summarises the complete annotated dataset as delivered to the model training pipeline.</w:t>
      </w:r>
    </w:p>
    <w:p>
      <w:pPr>
        <w:spacing w:after="80" w:before="200"/>
      </w:pPr>
      <w:r>
        <w:rPr>
          <w:rFonts w:ascii="Times New Roman" w:cs="Times New Roman" w:eastAsia="Times New Roman" w:hAnsi="Times New Roman"/>
          <w:b/>
          <w:bCs/>
          <w:sz w:val="24"/>
          <w:szCs w:val="24"/>
        </w:rPr>
        <w:t xml:space="preserve">Table 10.</w:t>
      </w:r>
      <w:r>
        <w:rPr>
          <w:rFonts w:ascii="Times New Roman" w:cs="Times New Roman" w:eastAsia="Times New Roman" w:hAnsi="Times New Roman"/>
          <w:sz w:val="24"/>
          <w:szCs w:val="24"/>
        </w:rPr>
        <w:t xml:space="preserve"> Final dataset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13"/>
        <w:gridCol w:w="2613"/>
      </w:tblGrid>
      <w:tr>
        <w:tc>
          <w:tcPr>
            <w:tcW w:type="dxa" w:w="3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Statistic</w:t>
            </w:r>
          </w:p>
        </w:tc>
        <w:tc>
          <w:tcPr>
            <w:tcW w:type="dxa" w:w="2613"/>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Silver set</w:t>
            </w:r>
          </w:p>
        </w:tc>
        <w:tc>
          <w:tcPr>
            <w:tcW w:type="dxa" w:w="2613"/>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Gold 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Reviews</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13,863</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400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Annotation method</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Majority vote (LLM + NLI + BERTopic)</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Human-validated (GPT-4o proposal)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Aspect-polarity pairs (total)</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20,584</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870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Mean pairs per review</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1.48</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2.18</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Multi-aspect reviews</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5,331 (38.5%)</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(all aspects)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 positive</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10,222 (49.7%)</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(varies by aspect)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 negative</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10,036 (48.8%)</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(varies by aspect)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Polarity: neutral</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326 (1.6%)</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(varies by aspect)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Disagreement / fallback reviews</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1,075 (7.8%)</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N/A (human-validated)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Aspects covered (of 10)</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 / 10</w:t>
            </w:r>
          </w:p>
        </w:tc>
        <w:tc>
          <w:tcPr>
            <w:tcW w:type="dxa" w:w="2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10 / 10</w:t>
            </w:r>
          </w:p>
        </w:tc>
      </w:tr>
    </w:tbl>
    <w:p>
      <w:pPr>
        <w:spacing w:after="200"/>
      </w:pPr>
    </w:p>
    <w:p>
      <w:pPr>
        <w:pStyle w:val="Heading1"/>
        <w:spacing w:after="200" w:before="400"/>
      </w:pPr>
      <w:r>
        <w:rPr>
          <w:rFonts w:ascii="Times New Roman" w:cs="Times New Roman" w:eastAsia="Times New Roman" w:hAnsi="Times New Roman"/>
          <w:b/>
          <w:bCs/>
          <w:sz w:val="32"/>
          <w:szCs w:val="32"/>
        </w:rPr>
        <w:t xml:space="preserve">9. Limitations</w:t>
      </w:r>
    </w:p>
    <w:p>
      <w:pPr>
        <w:spacing w:after="160" w:line="276" w:lineRule="auto"/>
      </w:pPr>
      <w:r>
        <w:rPr>
          <w:rFonts w:ascii="Times New Roman" w:cs="Times New Roman" w:eastAsia="Times New Roman" w:hAnsi="Times New Roman"/>
          <w:sz w:val="24"/>
          <w:szCs w:val="24"/>
        </w:rPr>
        <w:t xml:space="preserve">The following limitations should be acknowledged in the thesis, as they bound the scope of claims that can be made about the dataset and downstream models.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Silver label noise. </w:t>
      </w:r>
      <w:r>
        <w:rPr>
          <w:rFonts w:ascii="Times New Roman" w:cs="Times New Roman" w:eastAsia="Times New Roman" w:hAnsi="Times New Roman"/>
          <w:sz w:val="24"/>
          <w:szCs w:val="24"/>
        </w:rPr>
        <w:t xml:space="preserve">The 7.8% fallback rate indicates that for 1,075 reviews, only one annotator (the LLM) produced a label. These labels are noisier than majority-agreed annotations and may contain systematic LLM biases. Models trained on the silver set should be evaluated on the human-validated gold set, which provides the only unbiased performance estimate.</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BERTopic zero coverage on LIVRARE and CALITATE_CONSTRUCTIE. </w:t>
      </w:r>
      <w:r>
        <w:rPr>
          <w:rFonts w:ascii="Times New Roman" w:cs="Times New Roman" w:eastAsia="Times New Roman" w:hAnsi="Times New Roman"/>
          <w:sz w:val="24"/>
          <w:szCs w:val="24"/>
        </w:rPr>
        <w:t xml:space="preserve">These two aspects rely entirely on LLM–NLI agreement in the silver labels. The pipeline therefore provides less redundancy for these aspects, and their silver annotations carry higher uncertainty.</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Single human validator for the gold set. </w:t>
      </w:r>
      <w:r>
        <w:rPr>
          <w:rFonts w:ascii="Times New Roman" w:cs="Times New Roman" w:eastAsia="Times New Roman" w:hAnsi="Times New Roman"/>
          <w:sz w:val="24"/>
          <w:szCs w:val="24"/>
        </w:rPr>
        <w:t xml:space="preserve">The gold set was validated by one annotator. Human-vs-human κ has not yet been measured. Until a second validation pass is completed, the gold set reflects one annotator's judgements, and the borderline cases (Table 9) highlight areas where annotation subjectivity is highest.</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No explicit cross-product generalisation. </w:t>
      </w:r>
      <w:r>
        <w:rPr>
          <w:rFonts w:ascii="Times New Roman" w:cs="Times New Roman" w:eastAsia="Times New Roman" w:hAnsi="Times New Roman"/>
          <w:sz w:val="24"/>
          <w:szCs w:val="24"/>
        </w:rPr>
        <w:t xml:space="preserve">The corpus covers electronics broadly, but the distribution is skewed towards smartphones and phone accessories (which dominate Romanian e-commerce). Aspect categories such as ECRAN and BATERIE are better represented than SUNET (headphones-centric) or LIVRARE. Models may perform unevenly across product sub-types.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Keyword-based non-tech filter. </w:t>
      </w:r>
      <w:r>
        <w:rPr>
          <w:rFonts w:ascii="Times New Roman" w:cs="Times New Roman" w:eastAsia="Times New Roman" w:hAnsi="Times New Roman"/>
          <w:sz w:val="24"/>
          <w:szCs w:val="24"/>
        </w:rPr>
        <w:t xml:space="preserve">The exclusion filter for books, furniture, toys, clothing, and cosmetics operates on surface-form keywords. It may miss non-tech reviews that do not contain the flagged keywords (false negatives), and the 5.1% exclusion rate may be a lower bound.</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No existing Romanian ABSA benchmark. </w:t>
      </w:r>
      <w:r>
        <w:rPr>
          <w:rFonts w:ascii="Times New Roman" w:cs="Times New Roman" w:eastAsia="Times New Roman" w:hAnsi="Times New Roman"/>
          <w:sz w:val="24"/>
          <w:szCs w:val="24"/>
        </w:rPr>
        <w:t xml:space="preserve">To the best of our knowledge, no publicly available aspect-level annotated Romanian e-commerce dataset exists at the time of writing. This precludes a direct comparison of our annotation quality against a community standard, and makes the gold set evaluation even more critical as the sole quality anchor.</w:t>
      </w:r>
    </w:p>
    <w:p>
      <w:pPr>
        <w:spacing w:after="120"/>
      </w:pPr>
    </w:p>
    <w:p>
      <w:pPr>
        <w:pStyle w:val="Heading1"/>
        <w:spacing w:after="200" w:before="400"/>
      </w:pPr>
      <w:r>
        <w:rPr>
          <w:rFonts w:ascii="Times New Roman" w:cs="Times New Roman" w:eastAsia="Times New Roman" w:hAnsi="Times New Roman"/>
          <w:b/>
          <w:bCs/>
          <w:sz w:val="32"/>
          <w:szCs w:val="32"/>
        </w:rPr>
        <w:t xml:space="preserve">10. Reproducibility</w:t>
      </w:r>
    </w:p>
    <w:p>
      <w:pPr>
        <w:spacing w:after="160" w:line="276" w:lineRule="auto"/>
      </w:pPr>
      <w:r>
        <w:rPr>
          <w:rFonts w:ascii="Times New Roman" w:cs="Times New Roman" w:eastAsia="Times New Roman" w:hAnsi="Times New Roman"/>
          <w:sz w:val="24"/>
          <w:szCs w:val="24"/>
        </w:rPr>
        <w:t xml:space="preserve">All annotation procedures are designed for full reproducibility:</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Fixed random seed: </w:t>
      </w:r>
      <w:r>
        <w:rPr>
          <w:rFonts w:ascii="Times New Roman" w:cs="Times New Roman" w:eastAsia="Times New Roman" w:hAnsi="Times New Roman"/>
          <w:sz w:val="24"/>
          <w:szCs w:val="24"/>
        </w:rPr>
        <w:t xml:space="preserve">RANDOM_SEED = 42 is used throughout. The gold/silver split, sampling, and BERTopic clustering all use this seed.</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Deterministic LLM calls: </w:t>
      </w:r>
      <w:r>
        <w:rPr>
          <w:rFonts w:ascii="Times New Roman" w:cs="Times New Roman" w:eastAsia="Times New Roman" w:hAnsi="Times New Roman"/>
          <w:sz w:val="24"/>
          <w:szCs w:val="24"/>
        </w:rPr>
        <w:t xml:space="preserve">temperature=0 is set for all API calls. The same prompts on the same model version produce the same outputs.</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Checkpointing: </w:t>
      </w:r>
      <w:r>
        <w:rPr>
          <w:rFonts w:ascii="Times New Roman" w:cs="Times New Roman" w:eastAsia="Times New Roman" w:hAnsi="Times New Roman"/>
          <w:sz w:val="24"/>
          <w:szCs w:val="24"/>
        </w:rPr>
        <w:t xml:space="preserve">every completed annotation is appended to a JSONL checkpoint file. Interrupted runs can be resumed without re-calling any API.</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Versioned data splits: </w:t>
      </w:r>
      <w:r>
        <w:rPr>
          <w:rFonts w:ascii="Times New Roman" w:cs="Times New Roman" w:eastAsia="Times New Roman" w:hAnsi="Times New Roman"/>
          <w:sz w:val="24"/>
          <w:szCs w:val="24"/>
        </w:rPr>
        <w:t xml:space="preserve">gold_set.csv and silver_candidates.csv are committed to the repository together with the generating script, so the split is always reconstructable.</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Logged hyperparameters: </w:t>
      </w:r>
      <w:r>
        <w:rPr>
          <w:rFonts w:ascii="Times New Roman" w:cs="Times New Roman" w:eastAsia="Times New Roman" w:hAnsi="Times New Roman"/>
          <w:sz w:val="24"/>
          <w:szCs w:val="24"/>
        </w:rPr>
        <w:t xml:space="preserve">the NLI detection threshold, BERTopic parameters, model identifiers, and the corrected topic map are saved alongside each annotation output.</w:t>
      </w:r>
    </w:p>
    <w:p>
      <w:pPr>
        <w:pStyle w:val="ListParagraph"/>
        <w:numPr>
          <w:ilvl w:val="0"/>
          <w:numId w:val="2"/>
        </w:numPr>
        <w:spacing w:after="80" w:line="276" w:lineRule="auto"/>
      </w:pPr>
      <w:r>
        <w:rPr>
          <w:rFonts w:ascii="Times New Roman" w:cs="Times New Roman" w:eastAsia="Times New Roman" w:hAnsi="Times New Roman"/>
          <w:b/>
          <w:bCs/>
          <w:sz w:val="24"/>
          <w:szCs w:val="24"/>
        </w:rPr>
        <w:t xml:space="preserve">Manual correction audit trail: </w:t>
      </w:r>
      <w:r>
        <w:rPr>
          <w:rFonts w:ascii="Times New Roman" w:cs="Times New Roman" w:eastAsia="Times New Roman" w:hAnsi="Times New Roman"/>
          <w:sz w:val="24"/>
          <w:szCs w:val="24"/>
        </w:rPr>
        <w:t xml:space="preserve">all 9 human corrections to the gold set are recorded in the human_notes column with explicit rationale, making every annotation decision auditable.</w:t>
      </w:r>
    </w:p>
    <w:p>
      <w:pPr>
        <w:spacing w:after="120"/>
      </w:pPr>
    </w:p>
    <w:p>
      <w:pPr>
        <w:pStyle w:val="Heading1"/>
        <w:spacing w:after="200" w:before="400"/>
      </w:pPr>
      <w:r>
        <w:rPr>
          <w:rFonts w:ascii="Times New Roman" w:cs="Times New Roman" w:eastAsia="Times New Roman" w:hAnsi="Times New Roman"/>
          <w:b/>
          <w:bCs/>
          <w:sz w:val="32"/>
          <w:szCs w:val="32"/>
        </w:rPr>
        <w:t xml:space="preserve">11.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c>
          <w:tcPr>
            <w:tcW w:type="dxa" w:w="4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Step</w:t>
            </w:r>
          </w:p>
        </w:tc>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Status</w:t>
            </w:r>
          </w:p>
        </w:tc>
        <w:tc>
          <w:tcPr>
            <w:tcW w:type="dxa" w:w="2526"/>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center"/>
          </w:tcPr>
          <w:p>
            <w:pPr>
              <w:spacing w:after="0"/>
            </w:pPr>
            <w:r>
              <w:rPr>
                <w:rFonts w:ascii="Times New Roman" w:cs="Times New Roman" w:eastAsia="Times New Roman" w:hAnsi="Times New Roman"/>
                <w:b/>
                <w:bCs/>
                <w:sz w:val="24"/>
                <w:szCs w:val="24"/>
              </w:rPr>
              <w:t xml:space="preserve">Output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LaRoSeDa corpus loading and filtering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silver_candidates.csv (13,863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Gold / silver stratified split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gold_set.csv (400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LLM annotation (GPT-4o-mini / GPT-4o)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 (0 errors)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llm_silver.csv (13,863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NLI annotation (mDeBERTa)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 (0 errors)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nli_silver.csv (13,863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BERTopic annotation + topic correction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bertopic_silver.csv (13,863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Majority vote aggregation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silver_labels.csv (13,863 rows)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Human gold set validation (400 reviews)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gold_annotated.csv (400 rows, 9 corrections)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Inter-annotator agreement (Cohen’s κ)</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2E8B57"/>
                <w:sz w:val="24"/>
                <w:szCs w:val="24"/>
              </w:rPr>
              <w:t xml:space="preserve">Complete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iaa_report.csv</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sz w:val="24"/>
                <w:szCs w:val="24"/>
              </w:rPr>
              <w:t xml:space="preserve">Model training (baselines + transformers)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Times New Roman" w:cs="Times New Roman" w:eastAsia="Times New Roman" w:hAnsi="Times New Roman"/>
                <w:color w:val="888888"/>
                <w:sz w:val="24"/>
                <w:szCs w:val="24"/>
              </w:rPr>
              <w:t xml:space="preserve">Pending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model checkpoints</w:t>
            </w:r>
          </w:p>
        </w:tc>
      </w:tr>
    </w:tbl>
    <w:p>
      <w:pPr>
        <w:spacing w:after="200"/>
      </w:pPr>
    </w:p>
    <w:p>
      <w:pPr>
        <w:pStyle w:val="Heading1"/>
        <w:spacing w:after="200" w:before="400"/>
      </w:pPr>
      <w:r>
        <w:rPr>
          <w:rFonts w:ascii="Times New Roman" w:cs="Times New Roman" w:eastAsia="Times New Roman" w:hAnsi="Times New Roman"/>
          <w:b/>
          <w:bCs/>
          <w:sz w:val="32"/>
          <w:szCs w:val="32"/>
        </w:rPr>
        <w:t xml:space="preserve">References</w:t>
      </w:r>
    </w:p>
    <w:p>
      <w:pPr>
        <w:spacing w:after="120" w:line="260" w:lineRule="auto"/>
        <w:ind w:left="720" w:hanging="720"/>
      </w:pPr>
      <w:r>
        <w:rPr>
          <w:rFonts w:ascii="Times New Roman" w:cs="Times New Roman" w:eastAsia="Times New Roman" w:hAnsi="Times New Roman"/>
          <w:b/>
          <w:bCs/>
          <w:color w:val="2E74B5"/>
          <w:sz w:val="22"/>
          <w:szCs w:val="22"/>
        </w:rPr>
        <w:t xml:space="preserve">[Campello2013]  </w:t>
      </w:r>
      <w:r>
        <w:rPr>
          <w:rFonts w:ascii="Times New Roman" w:cs="Times New Roman" w:eastAsia="Times New Roman" w:hAnsi="Times New Roman"/>
          <w:sz w:val="22"/>
          <w:szCs w:val="22"/>
        </w:rPr>
        <w:t xml:space="preserve">Campello, R. J. G. B., Moulavi, D., &amp; Sander, J. (2013). Density-based clustering based on hierarchical density estimates. In </w:t>
      </w:r>
      <w:r>
        <w:rPr>
          <w:rFonts w:ascii="Times New Roman" w:cs="Times New Roman" w:eastAsia="Times New Roman" w:hAnsi="Times New Roman"/>
          <w:i/>
          <w:iCs/>
          <w:sz w:val="22"/>
          <w:szCs w:val="22"/>
        </w:rPr>
        <w:t xml:space="preserve">Advances in Knowledge Discovery and Data Mining (PAKDD 2013)</w:t>
      </w:r>
      <w:r>
        <w:rPr>
          <w:rFonts w:ascii="Times New Roman" w:cs="Times New Roman" w:eastAsia="Times New Roman" w:hAnsi="Times New Roman"/>
          <w:sz w:val="22"/>
          <w:szCs w:val="22"/>
        </w:rPr>
        <w:t xml:space="preserve">, pp. 160–172.</w:t>
      </w:r>
    </w:p>
    <w:p>
      <w:pPr>
        <w:spacing w:after="120" w:line="260" w:lineRule="auto"/>
        <w:ind w:left="720" w:hanging="720"/>
      </w:pPr>
      <w:r>
        <w:rPr>
          <w:rFonts w:ascii="Times New Roman" w:cs="Times New Roman" w:eastAsia="Times New Roman" w:hAnsi="Times New Roman"/>
          <w:b/>
          <w:bCs/>
          <w:color w:val="2E74B5"/>
          <w:sz w:val="22"/>
          <w:szCs w:val="22"/>
        </w:rPr>
        <w:t xml:space="preserve">[Cohen1960]  </w:t>
      </w:r>
      <w:r>
        <w:rPr>
          <w:rFonts w:ascii="Times New Roman" w:cs="Times New Roman" w:eastAsia="Times New Roman" w:hAnsi="Times New Roman"/>
          <w:sz w:val="22"/>
          <w:szCs w:val="22"/>
        </w:rPr>
        <w:t xml:space="preserve">Cohen, J. (1960). A coefficient of agreement for nominal scales. </w:t>
      </w:r>
      <w:r>
        <w:rPr>
          <w:rFonts w:ascii="Times New Roman" w:cs="Times New Roman" w:eastAsia="Times New Roman" w:hAnsi="Times New Roman"/>
          <w:i/>
          <w:iCs/>
          <w:sz w:val="22"/>
          <w:szCs w:val="22"/>
        </w:rPr>
        <w:t xml:space="preserve">Educational and Psychological Measurement</w:t>
      </w:r>
      <w:r>
        <w:rPr>
          <w:rFonts w:ascii="Times New Roman" w:cs="Times New Roman" w:eastAsia="Times New Roman" w:hAnsi="Times New Roman"/>
          <w:sz w:val="22"/>
          <w:szCs w:val="22"/>
        </w:rPr>
        <w:t xml:space="preserve">, 20(1), 37–46.</w:t>
      </w:r>
    </w:p>
    <w:p>
      <w:pPr>
        <w:spacing w:after="120" w:line="260" w:lineRule="auto"/>
        <w:ind w:left="720" w:hanging="720"/>
      </w:pPr>
      <w:r>
        <w:rPr>
          <w:rFonts w:ascii="Times New Roman" w:cs="Times New Roman" w:eastAsia="Times New Roman" w:hAnsi="Times New Roman"/>
          <w:b/>
          <w:bCs/>
          <w:color w:val="2E74B5"/>
          <w:sz w:val="22"/>
          <w:szCs w:val="22"/>
        </w:rPr>
        <w:t xml:space="preserve">[Kolmogorov1933]  </w:t>
      </w:r>
      <w:r>
        <w:rPr>
          <w:rFonts w:ascii="Times New Roman" w:cs="Times New Roman" w:eastAsia="Times New Roman" w:hAnsi="Times New Roman"/>
          <w:sz w:val="22"/>
          <w:szCs w:val="22"/>
        </w:rPr>
        <w:t xml:space="preserve">Kolmogorov, A. N. (1933). Sulla determinazione empirica di una legge di distribuzione. </w:t>
      </w:r>
      <w:r>
        <w:rPr>
          <w:rFonts w:ascii="Times New Roman" w:cs="Times New Roman" w:eastAsia="Times New Roman" w:hAnsi="Times New Roman"/>
          <w:i/>
          <w:iCs/>
          <w:sz w:val="22"/>
          <w:szCs w:val="22"/>
        </w:rPr>
        <w:t xml:space="preserve">Giornale dell'Istituto Italiano degli Attuari</w:t>
      </w:r>
      <w:r>
        <w:rPr>
          <w:rFonts w:ascii="Times New Roman" w:cs="Times New Roman" w:eastAsia="Times New Roman" w:hAnsi="Times New Roman"/>
          <w:sz w:val="22"/>
          <w:szCs w:val="22"/>
        </w:rPr>
        <w:t xml:space="preserve">, 4, 83–91. (Two-sample variant: Smirnov, 1948.)</w:t>
      </w:r>
    </w:p>
    <w:p>
      <w:pPr>
        <w:spacing w:after="120" w:line="260" w:lineRule="auto"/>
        <w:ind w:left="720" w:hanging="720"/>
      </w:pPr>
      <w:r>
        <w:rPr>
          <w:rFonts w:ascii="Times New Roman" w:cs="Times New Roman" w:eastAsia="Times New Roman" w:hAnsi="Times New Roman"/>
          <w:b/>
          <w:bCs/>
          <w:color w:val="2E74B5"/>
          <w:sz w:val="22"/>
          <w:szCs w:val="22"/>
        </w:rPr>
        <w:t xml:space="preserve">[Pontiki2014]  </w:t>
      </w:r>
      <w:r>
        <w:rPr>
          <w:rFonts w:ascii="Times New Roman" w:cs="Times New Roman" w:eastAsia="Times New Roman" w:hAnsi="Times New Roman"/>
          <w:sz w:val="22"/>
          <w:szCs w:val="22"/>
        </w:rPr>
        <w:t xml:space="preserve">Pontiki, M., Galanis, D., Pavlopoulos, J., Papageorgiou, H., Androutsopoulos, I., &amp; Manandhar, S. (2014). SemEval-2014 Task 4: Aspect based sentiment analysis. In </w:t>
      </w:r>
      <w:r>
        <w:rPr>
          <w:rFonts w:ascii="Times New Roman" w:cs="Times New Roman" w:eastAsia="Times New Roman" w:hAnsi="Times New Roman"/>
          <w:i/>
          <w:iCs/>
          <w:sz w:val="22"/>
          <w:szCs w:val="22"/>
        </w:rPr>
        <w:t xml:space="preserve">Proceedings of the 8th International Workshop on Semantic Evaluation (SemEval 2014)</w:t>
      </w:r>
      <w:r>
        <w:rPr>
          <w:rFonts w:ascii="Times New Roman" w:cs="Times New Roman" w:eastAsia="Times New Roman" w:hAnsi="Times New Roman"/>
          <w:sz w:val="22"/>
          <w:szCs w:val="22"/>
        </w:rPr>
        <w:t xml:space="preserve">, pp. 27–35.</w:t>
      </w:r>
    </w:p>
    <w:p>
      <w:pPr>
        <w:spacing w:after="120" w:line="260" w:lineRule="auto"/>
        <w:ind w:left="720" w:hanging="720"/>
      </w:pPr>
      <w:r>
        <w:rPr>
          <w:rFonts w:ascii="Times New Roman" w:cs="Times New Roman" w:eastAsia="Times New Roman" w:hAnsi="Times New Roman"/>
          <w:b/>
          <w:bCs/>
          <w:color w:val="2E74B5"/>
          <w:sz w:val="22"/>
          <w:szCs w:val="22"/>
        </w:rPr>
        <w:t xml:space="preserve">[Ding2023]  </w:t>
      </w:r>
      <w:r>
        <w:rPr>
          <w:rFonts w:ascii="Times New Roman" w:cs="Times New Roman" w:eastAsia="Times New Roman" w:hAnsi="Times New Roman"/>
          <w:sz w:val="22"/>
          <w:szCs w:val="22"/>
        </w:rPr>
        <w:t xml:space="preserve">Ding, B., Qin, C., Liu, L., Chia, Y. K., Li, B., Joty, S., &amp; Bing, L. (2023). Is GPT-3 a good data annotator? In </w:t>
      </w:r>
      <w:r>
        <w:rPr>
          <w:rFonts w:ascii="Times New Roman" w:cs="Times New Roman" w:eastAsia="Times New Roman" w:hAnsi="Times New Roman"/>
          <w:i/>
          <w:iCs/>
          <w:sz w:val="22"/>
          <w:szCs w:val="22"/>
        </w:rPr>
        <w:t xml:space="preserve">Proceedings of the 61st Annual Meeting of the Association for Computational Linguistics (ACL 2023)</w:t>
      </w:r>
      <w:r>
        <w:rPr>
          <w:rFonts w:ascii="Times New Roman" w:cs="Times New Roman" w:eastAsia="Times New Roman" w:hAnsi="Times New Roman"/>
          <w:sz w:val="22"/>
          <w:szCs w:val="22"/>
        </w:rPr>
        <w:t xml:space="preserve">, pp. 11173–11195.</w:t>
      </w:r>
    </w:p>
    <w:p>
      <w:pPr>
        <w:spacing w:after="120" w:line="260" w:lineRule="auto"/>
        <w:ind w:left="720" w:hanging="720"/>
      </w:pPr>
      <w:r>
        <w:rPr>
          <w:rFonts w:ascii="Times New Roman" w:cs="Times New Roman" w:eastAsia="Times New Roman" w:hAnsi="Times New Roman"/>
          <w:b/>
          <w:bCs/>
          <w:color w:val="2E74B5"/>
          <w:sz w:val="22"/>
          <w:szCs w:val="22"/>
        </w:rPr>
        <w:t xml:space="preserve">[Grootendorst2022]  </w:t>
      </w:r>
      <w:r>
        <w:rPr>
          <w:rFonts w:ascii="Times New Roman" w:cs="Times New Roman" w:eastAsia="Times New Roman" w:hAnsi="Times New Roman"/>
          <w:sz w:val="22"/>
          <w:szCs w:val="22"/>
        </w:rPr>
        <w:t xml:space="preserve">Grootendorst, M. (2022). BERTopic: Neural topic modeling with a class-based TF-IDF procedure. </w:t>
      </w:r>
      <w:r>
        <w:rPr>
          <w:rFonts w:ascii="Times New Roman" w:cs="Times New Roman" w:eastAsia="Times New Roman" w:hAnsi="Times New Roman"/>
          <w:i/>
          <w:iCs/>
          <w:sz w:val="22"/>
          <w:szCs w:val="22"/>
        </w:rPr>
        <w:t xml:space="preserve">arXiv preprint arXiv:2203.05794</w:t>
      </w:r>
      <w:r>
        <w:rPr>
          <w:rFonts w:ascii="Times New Roman" w:cs="Times New Roman" w:eastAsia="Times New Roman" w:hAnsi="Times New Roman"/>
          <w:sz w:val="22"/>
          <w:szCs w:val="22"/>
        </w:rPr>
        <w:t xml:space="preserve">.</w:t>
      </w:r>
    </w:p>
    <w:p>
      <w:pPr>
        <w:spacing w:after="120" w:line="260" w:lineRule="auto"/>
        <w:ind w:left="720" w:hanging="720"/>
      </w:pPr>
      <w:r>
        <w:rPr>
          <w:rFonts w:ascii="Times New Roman" w:cs="Times New Roman" w:eastAsia="Times New Roman" w:hAnsi="Times New Roman"/>
          <w:b/>
          <w:bCs/>
          <w:color w:val="2E74B5"/>
          <w:sz w:val="22"/>
          <w:szCs w:val="22"/>
        </w:rPr>
        <w:t xml:space="preserve">[Laurer2023]  </w:t>
      </w:r>
      <w:r>
        <w:rPr>
          <w:rFonts w:ascii="Times New Roman" w:cs="Times New Roman" w:eastAsia="Times New Roman" w:hAnsi="Times New Roman"/>
          <w:sz w:val="22"/>
          <w:szCs w:val="22"/>
        </w:rPr>
        <w:t xml:space="preserve">Laurer, M. (2023). mDeBERTa-v3-base-xnli-multilingual-nli-2mil7 [Model card]. Hugging Face. https://huggingface.co/MoritzLaurer/mDeBERTa-v3-base-xnli-multilingual-nli-2mil7</w:t>
      </w:r>
    </w:p>
    <w:p>
      <w:pPr>
        <w:spacing w:after="120" w:line="260" w:lineRule="auto"/>
        <w:ind w:left="720" w:hanging="720"/>
      </w:pPr>
      <w:r>
        <w:rPr>
          <w:rFonts w:ascii="Times New Roman" w:cs="Times New Roman" w:eastAsia="Times New Roman" w:hAnsi="Times New Roman"/>
          <w:b/>
          <w:bCs/>
          <w:color w:val="2E74B5"/>
          <w:sz w:val="22"/>
          <w:szCs w:val="22"/>
        </w:rPr>
        <w:t xml:space="preserve">[McInnes2018]  </w:t>
      </w:r>
      <w:r>
        <w:rPr>
          <w:rFonts w:ascii="Times New Roman" w:cs="Times New Roman" w:eastAsia="Times New Roman" w:hAnsi="Times New Roman"/>
          <w:sz w:val="22"/>
          <w:szCs w:val="22"/>
        </w:rPr>
        <w:t xml:space="preserve">McInnes, L., Healy, J., &amp; Melville, J. (2018). UMAP: Uniform Manifold Approximation and Projection for dimension reduction. </w:t>
      </w:r>
      <w:r>
        <w:rPr>
          <w:rFonts w:ascii="Times New Roman" w:cs="Times New Roman" w:eastAsia="Times New Roman" w:hAnsi="Times New Roman"/>
          <w:i/>
          <w:iCs/>
          <w:sz w:val="22"/>
          <w:szCs w:val="22"/>
        </w:rPr>
        <w:t xml:space="preserve">arXiv preprint arXiv:1802.03426</w:t>
      </w:r>
      <w:r>
        <w:rPr>
          <w:rFonts w:ascii="Times New Roman" w:cs="Times New Roman" w:eastAsia="Times New Roman" w:hAnsi="Times New Roman"/>
          <w:sz w:val="22"/>
          <w:szCs w:val="22"/>
        </w:rPr>
        <w:t xml:space="preserve">.</w:t>
      </w:r>
    </w:p>
    <w:p>
      <w:pPr>
        <w:spacing w:after="120" w:line="260" w:lineRule="auto"/>
        <w:ind w:left="720" w:hanging="720"/>
      </w:pPr>
      <w:r>
        <w:rPr>
          <w:rFonts w:ascii="Times New Roman" w:cs="Times New Roman" w:eastAsia="Times New Roman" w:hAnsi="Times New Roman"/>
          <w:b/>
          <w:bCs/>
          <w:color w:val="2E74B5"/>
          <w:sz w:val="22"/>
          <w:szCs w:val="22"/>
        </w:rPr>
        <w:t xml:space="preserve">[Ratner2017]  </w:t>
      </w:r>
      <w:r>
        <w:rPr>
          <w:rFonts w:ascii="Times New Roman" w:cs="Times New Roman" w:eastAsia="Times New Roman" w:hAnsi="Times New Roman"/>
          <w:sz w:val="22"/>
          <w:szCs w:val="22"/>
        </w:rPr>
        <w:t xml:space="preserve">Ratner, A., Bach, S. H., Ehrenberg, H., Fries, J., Wu, S., &amp; Ré, C. (2017). Snorkel: Rapid training data creation with weak supervision. </w:t>
      </w:r>
      <w:r>
        <w:rPr>
          <w:rFonts w:ascii="Times New Roman" w:cs="Times New Roman" w:eastAsia="Times New Roman" w:hAnsi="Times New Roman"/>
          <w:i/>
          <w:iCs/>
          <w:sz w:val="22"/>
          <w:szCs w:val="22"/>
        </w:rPr>
        <w:t xml:space="preserve">Proceedings of the VLDB Endowment</w:t>
      </w:r>
      <w:r>
        <w:rPr>
          <w:rFonts w:ascii="Times New Roman" w:cs="Times New Roman" w:eastAsia="Times New Roman" w:hAnsi="Times New Roman"/>
          <w:sz w:val="22"/>
          <w:szCs w:val="22"/>
        </w:rPr>
        <w:t xml:space="preserve">, 11(3), 269–282.</w:t>
      </w:r>
    </w:p>
    <w:p>
      <w:pPr>
        <w:spacing w:after="120" w:line="260" w:lineRule="auto"/>
        <w:ind w:left="720" w:hanging="720"/>
      </w:pPr>
      <w:r>
        <w:rPr>
          <w:rFonts w:ascii="Times New Roman" w:cs="Times New Roman" w:eastAsia="Times New Roman" w:hAnsi="Times New Roman"/>
          <w:b/>
          <w:bCs/>
          <w:color w:val="2E74B5"/>
          <w:sz w:val="22"/>
          <w:szCs w:val="22"/>
        </w:rPr>
        <w:t xml:space="preserve">[Reimers2020]  </w:t>
      </w:r>
      <w:r>
        <w:rPr>
          <w:rFonts w:ascii="Times New Roman" w:cs="Times New Roman" w:eastAsia="Times New Roman" w:hAnsi="Times New Roman"/>
          <w:sz w:val="22"/>
          <w:szCs w:val="22"/>
        </w:rPr>
        <w:t xml:space="preserve">Reimers, N., &amp; Gurevych, I. (2020). Making monolingual sentence embeddings multilingual using knowledge distillation. In </w:t>
      </w:r>
      <w:r>
        <w:rPr>
          <w:rFonts w:ascii="Times New Roman" w:cs="Times New Roman" w:eastAsia="Times New Roman" w:hAnsi="Times New Roman"/>
          <w:i/>
          <w:iCs/>
          <w:sz w:val="22"/>
          <w:szCs w:val="22"/>
        </w:rPr>
        <w:t xml:space="preserve">Proceedings of the 2020 Conference on Empirical Methods in Natural Language Processing (EMNLP)</w:t>
      </w:r>
      <w:r>
        <w:rPr>
          <w:rFonts w:ascii="Times New Roman" w:cs="Times New Roman" w:eastAsia="Times New Roman" w:hAnsi="Times New Roman"/>
          <w:sz w:val="22"/>
          <w:szCs w:val="22"/>
        </w:rPr>
        <w:t xml:space="preserve">, pp. 4512–4525.</w:t>
      </w:r>
    </w:p>
    <w:p>
      <w:pPr>
        <w:spacing w:after="120" w:line="260" w:lineRule="auto"/>
        <w:ind w:left="720" w:hanging="720"/>
      </w:pPr>
      <w:r>
        <w:rPr>
          <w:rFonts w:ascii="Times New Roman" w:cs="Times New Roman" w:eastAsia="Times New Roman" w:hAnsi="Times New Roman"/>
          <w:b/>
          <w:bCs/>
          <w:color w:val="2E74B5"/>
          <w:sz w:val="22"/>
          <w:szCs w:val="22"/>
        </w:rPr>
        <w:t xml:space="preserve">[Tache2021]  </w:t>
      </w:r>
      <w:r>
        <w:rPr>
          <w:rFonts w:ascii="Times New Roman" w:cs="Times New Roman" w:eastAsia="Times New Roman" w:hAnsi="Times New Roman"/>
          <w:sz w:val="22"/>
          <w:szCs w:val="22"/>
        </w:rPr>
        <w:t xml:space="preserve">Tache, A., Găman, M., &amp; Ionescu, R. T. (2021). Clustering word embeddings with self-organizing maps. Application on LaRoSeDa — A large Romanian sentiment data set. In </w:t>
      </w:r>
      <w:r>
        <w:rPr>
          <w:rFonts w:ascii="Times New Roman" w:cs="Times New Roman" w:eastAsia="Times New Roman" w:hAnsi="Times New Roman"/>
          <w:i/>
          <w:iCs/>
          <w:sz w:val="22"/>
          <w:szCs w:val="22"/>
        </w:rPr>
        <w:t xml:space="preserve">Proceedings of the 16th Conference of the European Chapter of the Association for Computational Linguistics (EACL 2021)</w:t>
      </w:r>
      <w:r>
        <w:rPr>
          <w:rFonts w:ascii="Times New Roman" w:cs="Times New Roman" w:eastAsia="Times New Roman" w:hAnsi="Times New Roman"/>
          <w:sz w:val="22"/>
          <w:szCs w:val="22"/>
        </w:rPr>
        <w:t xml:space="preserve">, pp. 949–961.</w:t>
      </w:r>
    </w:p>
    <w:p>
      <w:pPr>
        <w:spacing w:after="120" w:line="260" w:lineRule="auto"/>
        <w:ind w:left="720" w:hanging="720"/>
      </w:pPr>
      <w:r>
        <w:rPr>
          <w:rFonts w:ascii="Times New Roman" w:cs="Times New Roman" w:eastAsia="Times New Roman" w:hAnsi="Times New Roman"/>
          <w:b/>
          <w:bCs/>
          <w:color w:val="2E74B5"/>
          <w:sz w:val="22"/>
          <w:szCs w:val="22"/>
        </w:rPr>
        <w:t xml:space="preserve">[Yin2019]  </w:t>
      </w:r>
      <w:r>
        <w:rPr>
          <w:rFonts w:ascii="Times New Roman" w:cs="Times New Roman" w:eastAsia="Times New Roman" w:hAnsi="Times New Roman"/>
          <w:sz w:val="22"/>
          <w:szCs w:val="22"/>
        </w:rPr>
        <w:t xml:space="preserve">Yin, W., Hay, J., &amp; Roth, D. (2019). Benchmarking zero-shot text classification: Datasets, evaluation and entailment approach. In </w:t>
      </w:r>
      <w:r>
        <w:rPr>
          <w:rFonts w:ascii="Times New Roman" w:cs="Times New Roman" w:eastAsia="Times New Roman" w:hAnsi="Times New Roman"/>
          <w:i/>
          <w:iCs/>
          <w:sz w:val="22"/>
          <w:szCs w:val="22"/>
        </w:rPr>
        <w:t xml:space="preserve">Proceedings of the 2019 Conference on Empirical Methods in Natural Language Processing (EMNLP-IJCNLP)</w:t>
      </w:r>
      <w:r>
        <w:rPr>
          <w:rFonts w:ascii="Times New Roman" w:cs="Times New Roman" w:eastAsia="Times New Roman" w:hAnsi="Times New Roman"/>
          <w:sz w:val="22"/>
          <w:szCs w:val="22"/>
        </w:rPr>
        <w:t xml:space="preserve">, pp. 3914–3923.</w:t>
      </w:r>
    </w:p>
    <w:p>
      <w:pPr>
        <w:spacing w:after="120" w:line="260" w:lineRule="auto"/>
        <w:ind w:left="720" w:hanging="720"/>
      </w:pPr>
      <w:r>
        <w:rPr>
          <w:rFonts w:ascii="Times New Roman" w:cs="Times New Roman" w:eastAsia="Times New Roman" w:hAnsi="Times New Roman"/>
          <w:b/>
          <w:bCs/>
          <w:color w:val="2E74B5"/>
          <w:sz w:val="22"/>
          <w:szCs w:val="22"/>
        </w:rPr>
        <w:t xml:space="preserve">[Zhang2022]  </w:t>
      </w:r>
      <w:r>
        <w:rPr>
          <w:rFonts w:ascii="Times New Roman" w:cs="Times New Roman" w:eastAsia="Times New Roman" w:hAnsi="Times New Roman"/>
          <w:sz w:val="22"/>
          <w:szCs w:val="22"/>
        </w:rPr>
        <w:t xml:space="preserve">Zhang, W., Li, X., Deng, Y., Bing, L., &amp; Lam, W. (2022). A survey on aspect-based sentiment analysis: Tasks, methods, and challenges. </w:t>
      </w:r>
      <w:r>
        <w:rPr>
          <w:rFonts w:ascii="Times New Roman" w:cs="Times New Roman" w:eastAsia="Times New Roman" w:hAnsi="Times New Roman"/>
          <w:i/>
          <w:iCs/>
          <w:sz w:val="22"/>
          <w:szCs w:val="22"/>
        </w:rPr>
        <w:t xml:space="preserve">IEEE Transactions on Knowledge and Data Engineering</w:t>
      </w:r>
      <w:r>
        <w:rPr>
          <w:rFonts w:ascii="Times New Roman" w:cs="Times New Roman" w:eastAsia="Times New Roman" w:hAnsi="Times New Roman"/>
          <w:sz w:val="22"/>
          <w:szCs w:val="22"/>
        </w:rPr>
        <w:t xml:space="preserve">, 35(11), 11019–11038.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RecenzIA — Dataset Construction and Annotation  |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8E8" w:sz="4" w:space="4"/>
      </w:pBdr>
      <w:spacing w:after="20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4D8A"/>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2026-04-13T17:22:56.271Z</dcterms:created>
  <dcterms:modified xsi:type="dcterms:W3CDTF">2026-04-13T17:22:56.272Z</dcterms:modified>
</cp:coreProperties>
</file>

<file path=docProps/custom.xml><?xml version="1.0" encoding="utf-8"?>
<Properties xmlns="http://schemas.openxmlformats.org/officeDocument/2006/custom-properties" xmlns:vt="http://schemas.openxmlformats.org/officeDocument/2006/docPropsVTypes"/>
</file>