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1BBA9">
      <w:pPr>
        <w:pStyle w:val="2"/>
        <w:keepNext w:val="0"/>
        <w:keepLines w:val="0"/>
        <w:widowControl/>
        <w:suppressLineNumbers w:val="0"/>
        <w:spacing w:before="0" w:beforeAutospacing="0" w:line="240" w:lineRule="auto"/>
        <w:ind w:firstLine="800" w:firstLineChars="200"/>
        <w:rPr>
          <w:rFonts w:hint="default" w:ascii="Times New Roman" w:hAnsi="Times New Roman" w:eastAsia="sans-serif" w:cs="Times New Roman"/>
          <w:sz w:val="40"/>
          <w:szCs w:val="40"/>
        </w:rPr>
      </w:pPr>
      <w:r>
        <w:rPr>
          <w:rFonts w:hint="default" w:ascii="Times New Roman" w:hAnsi="Times New Roman" w:eastAsia="sans-serif" w:cs="Times New Roman"/>
          <w:sz w:val="40"/>
          <w:szCs w:val="40"/>
        </w:rPr>
        <w:t>CAPÍTULO III</w:t>
      </w:r>
    </w:p>
    <w:p w14:paraId="6D21B516">
      <w:pPr>
        <w:pStyle w:val="3"/>
        <w:keepNext w:val="0"/>
        <w:keepLines w:val="0"/>
        <w:widowControl/>
        <w:suppressLineNumbers w:val="0"/>
        <w:spacing w:before="0" w:beforeAutospacing="0" w:line="240" w:lineRule="auto"/>
        <w:ind w:firstLine="560" w:firstLineChars="200"/>
        <w:rPr>
          <w:rFonts w:hint="default" w:ascii="Times New Roman" w:hAnsi="Times New Roman" w:eastAsia="sans-serif" w:cs="Times New Roman"/>
          <w:i w:val="0"/>
          <w:iCs w:val="0"/>
          <w:sz w:val="28"/>
          <w:szCs w:val="28"/>
          <w:lang w:val="es-ES"/>
        </w:rPr>
      </w:pPr>
      <w:r>
        <w:rPr>
          <w:rFonts w:hint="default" w:ascii="Times New Roman" w:hAnsi="Times New Roman" w:eastAsia="sans-serif" w:cs="Times New Roman"/>
          <w:i w:val="0"/>
          <w:iCs w:val="0"/>
          <w:sz w:val="28"/>
          <w:szCs w:val="28"/>
        </w:rPr>
        <w:t>PROPUESTA TECNOLÓGICA: FACTIBILIDAD OPERACIONAL, TÉCNICA, LEGAL Y ECONÓMICA</w:t>
      </w:r>
      <w:r>
        <w:rPr>
          <w:rFonts w:hint="default" w:ascii="Times New Roman" w:hAnsi="Times New Roman" w:eastAsia="sans-serif" w:cs="Times New Roman"/>
          <w:i w:val="0"/>
          <w:iCs w:val="0"/>
          <w:sz w:val="28"/>
          <w:szCs w:val="28"/>
          <w:lang w:val="es-ES"/>
        </w:rPr>
        <w:t xml:space="preserve"> DEL PROYECTO </w:t>
      </w:r>
    </w:p>
    <w:p w14:paraId="59438177">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La presente propuesta tecnológica comprende el análisis de viabilidad y la estructuración de recursos para el desarrollo de una billetera digital (Wallet) enfocada en la gestión segura de activos criptográficos. A través de este análisis, se garantiza que el proyecto sea escalable, seguro y económicamente sustentable en el tiempo. </w:t>
      </w:r>
    </w:p>
    <w:p w14:paraId="71CBAEB5">
      <w:pPr>
        <w:pStyle w:val="4"/>
        <w:keepNext w:val="0"/>
        <w:keepLines w:val="0"/>
        <w:widowControl/>
        <w:suppressLineNumbers w:val="0"/>
        <w:spacing w:before="0" w:beforeAutospacing="0" w:line="360" w:lineRule="auto"/>
        <w:ind w:firstLine="520" w:firstLineChars="200"/>
        <w:rPr>
          <w:rFonts w:hint="default" w:ascii="Times New Roman" w:hAnsi="Times New Roman" w:eastAsia="sans-serif" w:cs="Times New Roman"/>
        </w:rPr>
      </w:pPr>
      <w:r>
        <w:rPr>
          <w:rFonts w:hint="default" w:ascii="Times New Roman" w:hAnsi="Times New Roman" w:eastAsia="sans-serif" w:cs="Times New Roman"/>
        </w:rPr>
        <w:t>1. Análisis de Factibilidad</w:t>
      </w:r>
    </w:p>
    <w:p w14:paraId="7AECB17C">
      <w:pPr>
        <w:pStyle w:val="5"/>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Factibilidad Operacional</w:t>
      </w:r>
    </w:p>
    <w:p w14:paraId="4E48A4DA">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El proyecto demuestra una alta factibilidad operacional debido a que la interfaz y las funciones de la Wallet están diseñadas bajo principios de minimalismo, usabilidad e interacción humano-máquina eficientes. La plataforma permitirá a los usuarios finales gestionar de forma intuitiva la generación de frases semilla (Mnemonic), llaves públicas y privadas. Operacionalmente, el sistema reduce la fricción en transacciones blockchain y provee un entorno gráfico accesible que agiliza el control de los activos digitales sin requerir conocimientos técnicos avanzados por parte del usuario. </w:t>
      </w:r>
    </w:p>
    <w:p w14:paraId="14EBD962">
      <w:pPr>
        <w:pStyle w:val="5"/>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Factibilidad Técnica</w:t>
      </w:r>
    </w:p>
    <w:p w14:paraId="29478D8C">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La viabilidad técnica está plenamente respaldada por la disponibilidad de entornos de desarrollo avanzados y herramientas de código abierto consolidadas en el mercado. La arquitectura de la Wallet se basa en lenguajes de programación robustos para el backend y frontend, incorporando bibliotecas criptográficas estandarizadas para la derivación de claves jerárquicas deterministas (BIP32/BIP39). La infraestructura propuesta aprovecha soluciones multiplataforma y bases de datos eficientes que aseguran la estabilidad, velocidad de respuesta y modularidad del sistema. </w:t>
      </w:r>
    </w:p>
    <w:p w14:paraId="0C9AF8DB">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p>
    <w:p w14:paraId="5DEE4095">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p>
    <w:p w14:paraId="33601F55">
      <w:pPr>
        <w:pStyle w:val="4"/>
        <w:keepNext w:val="0"/>
        <w:keepLines w:val="0"/>
        <w:widowControl/>
        <w:suppressLineNumbers w:val="0"/>
        <w:spacing w:before="0" w:beforeAutospacing="0" w:line="360" w:lineRule="auto"/>
        <w:ind w:firstLine="520" w:firstLineChars="200"/>
        <w:rPr>
          <w:rFonts w:hint="default" w:ascii="Times New Roman" w:hAnsi="Times New Roman" w:eastAsia="sans-serif" w:cs="Times New Roman"/>
        </w:rPr>
      </w:pPr>
      <w:r>
        <w:rPr>
          <w:rFonts w:hint="default" w:ascii="Times New Roman" w:hAnsi="Times New Roman" w:eastAsia="sans-serif" w:cs="Times New Roman"/>
        </w:rPr>
        <w:t xml:space="preserve">2. Tabla de Herramientas con Descripción </w:t>
      </w:r>
    </w:p>
    <w:p w14:paraId="402774A9">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A continuación, se detallan las herramientas de software seleccionadas para la implementación de la Wallet, justificando su uso técnico dentro del proyecto. </w:t>
      </w:r>
    </w:p>
    <w:p w14:paraId="57CD6F32">
      <w:pPr>
        <w:pStyle w:val="6"/>
        <w:keepNext w:val="0"/>
        <w:keepLines w:val="0"/>
        <w:widowControl/>
        <w:suppressLineNumbers w:val="0"/>
        <w:spacing w:before="0" w:beforeAutospacing="0" w:line="360" w:lineRule="auto"/>
        <w:ind w:firstLine="400" w:firstLineChars="200"/>
        <w:rPr>
          <w:rFonts w:hint="default" w:ascii="Times New Roman" w:hAnsi="Times New Roman" w:eastAsia="sans-serif" w:cs="Times New Roman"/>
        </w:rPr>
      </w:pPr>
      <w:r>
        <w:rPr>
          <w:rFonts w:hint="default" w:ascii="Times New Roman" w:hAnsi="Times New Roman" w:eastAsia="sans-serif" w:cs="Times New Roman"/>
        </w:rPr>
        <w:t xml:space="preserve">Tabla 3.1 </w:t>
      </w:r>
      <w:r>
        <w:rPr>
          <w:rFonts w:hint="default" w:ascii="Times New Roman" w:hAnsi="Times New Roman" w:eastAsia="sans-serif" w:cs="Times New Roman"/>
          <w:i/>
          <w:iCs/>
        </w:rPr>
        <w:t>Especificación de Herramientas de Desarrollo</w:t>
      </w:r>
    </w:p>
    <w:tbl>
      <w:tblPr>
        <w:tblStyle w:val="8"/>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4"/>
        <w:gridCol w:w="6630"/>
      </w:tblGrid>
      <w:tr w14:paraId="480F7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0E24AC0">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Herramientas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CC07B7E">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Descripción Técnica dentro del Proyecto</w:t>
            </w:r>
          </w:p>
        </w:tc>
      </w:tr>
      <w:tr w14:paraId="18CBB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B0FD8D0">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Visual Studio Code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A574E5C">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Editor de código fuente multiplataforma utilizado para la escritura, depuración y control de versiones (Git) de los módulos de la Wallet, optimizando el tiempo de desarrollo mediante extensiones especializadas. </w:t>
            </w:r>
          </w:p>
        </w:tc>
      </w:tr>
      <w:tr w14:paraId="73603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70D800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Node.js / PHP</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81232CD">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Entorno de ejecución y lenguaje backend empleados para procesar la lógica de negocio, manejo de APIs criptográficas y la conexión segura con los nodos de la red blockchain. </w:t>
            </w:r>
          </w:p>
        </w:tc>
      </w:tr>
      <w:tr w14:paraId="2858F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32C6ED4">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Angular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3F3B188">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Framework basado en TypeScript utilizado para construir una interfaz de usuario web (Frontend) SPA (Single Page Application) fluida, modular y escalable. </w:t>
            </w:r>
          </w:p>
        </w:tc>
      </w:tr>
      <w:tr w14:paraId="51646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F2FFB4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Firebase / MySQL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124E6D3">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Arquitectura de persistencia que combina almacenamiento relacional para datos de usuario junto con servicios de Firebase (como Authentication para control de accesos y Realtime Database para la sincronización de estados financieros en tiempo real). </w:t>
            </w:r>
          </w:p>
        </w:tc>
      </w:tr>
      <w:tr w14:paraId="37D54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03438B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Bibliotecas BIP32 / BIP39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151A32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Módulos criptográficos de código abierto integrados en el núcleo del desarrollo para la generación de la frase semilla de 12/24 palabras y la derivación segura de pares de llaves para múltiples cadenas de bloques.</w:t>
            </w:r>
          </w:p>
        </w:tc>
      </w:tr>
    </w:tbl>
    <w:p w14:paraId="09F30010">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Nota: Estructura de herramientas basada en los requerimientos técnicos del software. </w:t>
      </w:r>
    </w:p>
    <w:p w14:paraId="7C5D30CC">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p>
    <w:p w14:paraId="01A1BA20">
      <w:pPr>
        <w:pStyle w:val="4"/>
        <w:keepNext w:val="0"/>
        <w:keepLines w:val="0"/>
        <w:widowControl/>
        <w:suppressLineNumbers w:val="0"/>
        <w:spacing w:before="0" w:beforeAutospacing="0" w:line="360" w:lineRule="auto"/>
        <w:ind w:firstLine="520" w:firstLineChars="200"/>
        <w:rPr>
          <w:rFonts w:hint="default" w:ascii="Times New Roman" w:hAnsi="Times New Roman" w:eastAsia="sans-serif" w:cs="Times New Roman"/>
        </w:rPr>
      </w:pPr>
      <w:r>
        <w:rPr>
          <w:rFonts w:hint="default" w:ascii="Times New Roman" w:hAnsi="Times New Roman" w:eastAsia="sans-serif" w:cs="Times New Roman"/>
        </w:rPr>
        <w:t>3. Tabla de Costos de Software ($0 — Todo Open Source)</w:t>
      </w:r>
    </w:p>
    <w:p w14:paraId="11DDF846">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En concordancia con los lineamientos del proyecto, todas las tecnologías y entornos seleccionados son de código abierto, lo que elimina cualquier impacto financiero por licenciamiento. </w:t>
      </w:r>
    </w:p>
    <w:p w14:paraId="687DF765">
      <w:pPr>
        <w:pStyle w:val="6"/>
        <w:keepNext w:val="0"/>
        <w:keepLines w:val="0"/>
        <w:widowControl/>
        <w:suppressLineNumbers w:val="0"/>
        <w:spacing w:before="0" w:beforeAutospacing="0" w:line="360" w:lineRule="auto"/>
        <w:ind w:firstLine="400" w:firstLineChars="200"/>
        <w:rPr>
          <w:rFonts w:hint="default" w:ascii="Times New Roman" w:hAnsi="Times New Roman" w:eastAsia="sans-serif" w:cs="Times New Roman"/>
        </w:rPr>
      </w:pPr>
      <w:r>
        <w:rPr>
          <w:rFonts w:hint="default" w:ascii="Times New Roman" w:hAnsi="Times New Roman" w:eastAsia="sans-serif" w:cs="Times New Roman"/>
        </w:rPr>
        <w:t xml:space="preserve">Tabla 3.2 </w:t>
      </w:r>
      <w:r>
        <w:rPr>
          <w:rFonts w:hint="default" w:ascii="Times New Roman" w:hAnsi="Times New Roman" w:eastAsia="sans-serif" w:cs="Times New Roman"/>
          <w:i/>
          <w:iCs/>
        </w:rPr>
        <w:t>Costos de Software del Proyecto</w:t>
      </w:r>
    </w:p>
    <w:tbl>
      <w:tblPr>
        <w:tblStyle w:val="8"/>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62"/>
        <w:gridCol w:w="4068"/>
        <w:gridCol w:w="1034"/>
      </w:tblGrid>
      <w:tr w14:paraId="1EFB3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8FD7A72">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Herramientas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1CA89EE">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Tipo de Licencia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1C6E1CF">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Costos</w:t>
            </w:r>
          </w:p>
        </w:tc>
      </w:tr>
      <w:tr w14:paraId="39F72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A1197D0">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Visual Studio Code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B69E7FE">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Libre (MIT License / Open Source)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9FF2ABC">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$0.00 </w:t>
            </w:r>
          </w:p>
        </w:tc>
      </w:tr>
      <w:tr w14:paraId="064A6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ACFAE75">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Angular Framework</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2752D98">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Libre (MIT License / Open Source)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26B494A">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$0.00 </w:t>
            </w:r>
          </w:p>
        </w:tc>
      </w:tr>
      <w:tr w14:paraId="0AA7B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5A87F0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Node.js / PHP</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38674F9">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Libre (Open Source)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34BE6E1">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$0.00 </w:t>
            </w:r>
          </w:p>
        </w:tc>
      </w:tr>
      <w:tr w14:paraId="26163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4C1A13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Firebase (Spark Plan) / MySQL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EF25BFE">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Libre (Módulos Open Source / Capa Gratuita)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DB22F02">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$0.00 </w:t>
            </w:r>
          </w:p>
        </w:tc>
      </w:tr>
      <w:tr w14:paraId="2E42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82BE4C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Bibliotecas Criptográficas (BIP32/39)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D88A334">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Libre (Open Source)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2B5B8EC">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$0.00</w:t>
            </w:r>
          </w:p>
        </w:tc>
      </w:tr>
      <w:tr w14:paraId="4ADBB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5C01E0A">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Total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0F46D84">
            <w:pPr>
              <w:spacing w:line="360" w:lineRule="auto"/>
              <w:rPr>
                <w:rFonts w:hint="default" w:ascii="Times New Roman" w:hAnsi="Times New Roman" w:eastAsia="sans-serif" w:cs="Times New Roman"/>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1F4374B">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$0.00</w:t>
            </w:r>
          </w:p>
        </w:tc>
      </w:tr>
    </w:tbl>
    <w:p w14:paraId="6BEB57C6">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p>
    <w:p w14:paraId="47146DE5">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Nota: En esta tabla se aprecia el coste nulo de adquisición de software. </w:t>
      </w:r>
    </w:p>
    <w:p w14:paraId="4A2BACB1">
      <w:pPr>
        <w:pStyle w:val="4"/>
        <w:keepNext w:val="0"/>
        <w:keepLines w:val="0"/>
        <w:widowControl/>
        <w:suppressLineNumbers w:val="0"/>
        <w:spacing w:before="0" w:beforeAutospacing="0" w:line="360" w:lineRule="auto"/>
        <w:ind w:firstLine="520" w:firstLineChars="200"/>
        <w:rPr>
          <w:rFonts w:hint="default" w:ascii="Times New Roman" w:hAnsi="Times New Roman" w:eastAsia="sans-serif" w:cs="Times New Roman"/>
        </w:rPr>
      </w:pPr>
      <w:r>
        <w:rPr>
          <w:rFonts w:hint="default" w:ascii="Times New Roman" w:hAnsi="Times New Roman" w:eastAsia="sans-serif" w:cs="Times New Roman"/>
        </w:rPr>
        <w:t>4. Tabla de Costos de Mano de Obra (Estimado)</w:t>
      </w:r>
    </w:p>
    <w:p w14:paraId="5C216162">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Para cuantificar el valor real del desarrollo del software de la Wallet, se realiza una estimación presupuestaria basada en los roles y fases críticas de la ingeniería de software. </w:t>
      </w:r>
    </w:p>
    <w:p w14:paraId="0F327C6D">
      <w:pPr>
        <w:pStyle w:val="10"/>
        <w:keepNext w:val="0"/>
        <w:keepLines w:val="0"/>
        <w:widowControl/>
        <w:suppressLineNumbers w:val="0"/>
        <w:spacing w:before="0" w:beforeAutospacing="0" w:line="360" w:lineRule="auto"/>
        <w:rPr>
          <w:rFonts w:hint="default" w:ascii="Times New Roman" w:hAnsi="Times New Roman" w:eastAsia="sans-serif" w:cs="Times New Roman"/>
        </w:rPr>
      </w:pPr>
      <w:bookmarkStart w:id="0" w:name="_GoBack"/>
      <w:bookmarkEnd w:id="0"/>
    </w:p>
    <w:p w14:paraId="23C24253">
      <w:pPr>
        <w:pStyle w:val="6"/>
        <w:keepNext w:val="0"/>
        <w:keepLines w:val="0"/>
        <w:widowControl/>
        <w:suppressLineNumbers w:val="0"/>
        <w:spacing w:before="0" w:beforeAutospacing="0" w:line="360" w:lineRule="auto"/>
        <w:ind w:firstLine="400" w:firstLineChars="200"/>
        <w:rPr>
          <w:rFonts w:hint="default" w:ascii="Times New Roman" w:hAnsi="Times New Roman" w:eastAsia="sans-serif" w:cs="Times New Roman"/>
        </w:rPr>
      </w:pPr>
      <w:r>
        <w:rPr>
          <w:rFonts w:hint="default" w:ascii="Times New Roman" w:hAnsi="Times New Roman" w:eastAsia="sans-serif" w:cs="Times New Roman"/>
        </w:rPr>
        <w:t xml:space="preserve">Tabla 3.3 </w:t>
      </w:r>
      <w:r>
        <w:rPr>
          <w:rFonts w:hint="default" w:ascii="Times New Roman" w:hAnsi="Times New Roman" w:eastAsia="sans-serif" w:cs="Times New Roman"/>
          <w:i/>
          <w:iCs/>
        </w:rPr>
        <w:t>Costos de Mano de Obra Estimados</w:t>
      </w:r>
    </w:p>
    <w:tbl>
      <w:tblPr>
        <w:tblStyle w:val="8"/>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5"/>
        <w:gridCol w:w="4576"/>
        <w:gridCol w:w="1313"/>
      </w:tblGrid>
      <w:tr w14:paraId="6C2FC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C69006F">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Talento Humano / Fase del Proyecto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E236751">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Descripción del Entregable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3A92E6D">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Costos</w:t>
            </w:r>
          </w:p>
        </w:tc>
      </w:tr>
      <w:tr w14:paraId="7A727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2C782AD">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Análisis de Proyecto Criptográfico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4F1882E">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Levantamiento de requerimientos funcionales, definición de alcances blockchain y vectores de ataque.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8E5C21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$200.00</w:t>
            </w:r>
          </w:p>
        </w:tc>
      </w:tr>
      <w:tr w14:paraId="6D4D8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D6B5367">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Diseño de Interfaz (UX/UI)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CDCE850">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Modelado de interfaces minimalistas para la Wallet, flujos de envío/recepción y pantallas de seguridad.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B828A73">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$300.00 </w:t>
            </w:r>
          </w:p>
        </w:tc>
      </w:tr>
      <w:tr w14:paraId="3A703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E805784">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Arquitectura de Base de Datos y Criptografía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9875FE7">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Diseño lógico de persistencia de datos y mapeo de derivación de llaves jerárquicas.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2518B1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$250.00</w:t>
            </w:r>
          </w:p>
        </w:tc>
      </w:tr>
      <w:tr w14:paraId="2DE9E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7A7193E">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Desarrollo de Módulos y Lógica Blockchain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32BA366">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Programación del núcleo de la Wallet, integración de BIP32, BIP39 y firma de transacciones.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BB3884E">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$700.00</w:t>
            </w:r>
          </w:p>
        </w:tc>
      </w:tr>
      <w:tr w14:paraId="52241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10824B9">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Pruebas de Seguridad y Despliegue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D17C866">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Verificación de vulnerabilidades, auditoría interna de claves y pruebas en entornos de prueba (Testnet).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C9EE1A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$250.00</w:t>
            </w:r>
          </w:p>
        </w:tc>
      </w:tr>
      <w:tr w14:paraId="61D18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8BE932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Total Mano de Obra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1750EEF">
            <w:pPr>
              <w:spacing w:line="360" w:lineRule="auto"/>
              <w:rPr>
                <w:rFonts w:hint="default" w:ascii="Times New Roman" w:hAnsi="Times New Roman" w:eastAsia="sans-serif" w:cs="Times New Roman"/>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7DAA7C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$1,700.00</w:t>
            </w:r>
          </w:p>
        </w:tc>
      </w:tr>
    </w:tbl>
    <w:p w14:paraId="148E1E8A">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Nota: Estimación de costos de talento humano calculada para el desarrollo de la plataforma web Wallet. </w:t>
      </w:r>
    </w:p>
    <w:p w14:paraId="3AB7EF80">
      <w:pPr>
        <w:pStyle w:val="6"/>
        <w:keepNext w:val="0"/>
        <w:keepLines w:val="0"/>
        <w:widowControl/>
        <w:suppressLineNumbers w:val="0"/>
        <w:spacing w:before="0" w:beforeAutospacing="0" w:line="360" w:lineRule="auto"/>
        <w:ind w:firstLine="400" w:firstLineChars="200"/>
        <w:rPr>
          <w:rFonts w:hint="default" w:ascii="Times New Roman" w:hAnsi="Times New Roman" w:eastAsia="sans-serif" w:cs="Times New Roman"/>
        </w:rPr>
      </w:pPr>
      <w:r>
        <w:rPr>
          <w:rFonts w:hint="default" w:ascii="Times New Roman" w:hAnsi="Times New Roman" w:eastAsia="sans-serif" w:cs="Times New Roman"/>
        </w:rPr>
        <w:t xml:space="preserve">Tabla 3.4 </w:t>
      </w:r>
      <w:r>
        <w:rPr>
          <w:rFonts w:hint="default" w:ascii="Times New Roman" w:hAnsi="Times New Roman" w:eastAsia="sans-serif" w:cs="Times New Roman"/>
          <w:i/>
          <w:iCs/>
        </w:rPr>
        <w:t>Costo Total del Proyecto de Titulación</w:t>
      </w:r>
    </w:p>
    <w:tbl>
      <w:tblPr>
        <w:tblStyle w:val="8"/>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93"/>
        <w:gridCol w:w="1313"/>
      </w:tblGrid>
      <w:tr w14:paraId="38FB0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0D1C4AE">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Componente del Proyecto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6672947">
            <w:pPr>
              <w:keepNext w:val="0"/>
              <w:keepLines w:val="0"/>
              <w:widowControl/>
              <w:suppressLineNumbers w:val="0"/>
              <w:spacing w:before="0" w:beforeAutospacing="0" w:line="360" w:lineRule="auto"/>
              <w:jc w:val="left"/>
              <w:rPr>
                <w:rFonts w:hint="default" w:ascii="Times New Roman" w:hAnsi="Times New Roman" w:eastAsia="sans-serif" w:cs="Times New Roman"/>
                <w:color w:val="4874CB" w:themeColor="accent1"/>
                <w14:textFill>
                  <w14:solidFill>
                    <w14:schemeClr w14:val="accent1"/>
                  </w14:solidFill>
                </w14:textFill>
              </w:rPr>
            </w:pPr>
            <w:r>
              <w:rPr>
                <w:rStyle w:val="9"/>
                <w:rFonts w:hint="default" w:ascii="Times New Roman" w:hAnsi="Times New Roman" w:eastAsia="sans-serif" w:cs="Times New Roman"/>
                <w:color w:val="4874CB" w:themeColor="accent1"/>
                <w:kern w:val="0"/>
                <w:sz w:val="24"/>
                <w:szCs w:val="24"/>
                <w:lang w:val="en-US" w:eastAsia="zh-CN" w:bidi="ar"/>
                <w14:textFill>
                  <w14:solidFill>
                    <w14:schemeClr w14:val="accent1"/>
                  </w14:solidFill>
                </w14:textFill>
              </w:rPr>
              <w:t>Costos</w:t>
            </w:r>
          </w:p>
        </w:tc>
      </w:tr>
      <w:tr w14:paraId="6C62E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88BCC3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Costo de Software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01E2525">
            <w:pPr>
              <w:pStyle w:val="10"/>
              <w:keepNext w:val="0"/>
              <w:keepLines w:val="0"/>
              <w:widowControl/>
              <w:suppressLineNumbers w:val="0"/>
              <w:spacing w:before="0" w:beforeAutospacing="0" w:after="0" w:after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$0.00 </w:t>
            </w:r>
          </w:p>
        </w:tc>
      </w:tr>
      <w:tr w14:paraId="3BAC9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E29E7EE">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Costo de Mano de Obra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F5D2BF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$1,700.00</w:t>
            </w:r>
          </w:p>
        </w:tc>
      </w:tr>
      <w:tr w14:paraId="150B4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828FF34">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Total del Proyecto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A3E2FCD">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$1,700.00</w:t>
            </w:r>
          </w:p>
        </w:tc>
      </w:tr>
    </w:tbl>
    <w:p w14:paraId="237D5CA4">
      <w:pPr>
        <w:pStyle w:val="4"/>
        <w:keepNext w:val="0"/>
        <w:keepLines w:val="0"/>
        <w:widowControl/>
        <w:suppressLineNumbers w:val="0"/>
        <w:spacing w:before="0" w:beforeAutospacing="0" w:line="360" w:lineRule="auto"/>
        <w:ind w:firstLine="520" w:firstLineChars="200"/>
        <w:rPr>
          <w:rFonts w:hint="default" w:ascii="Times New Roman" w:hAnsi="Times New Roman" w:eastAsia="sans-serif" w:cs="Times New Roman"/>
        </w:rPr>
      </w:pPr>
    </w:p>
    <w:p w14:paraId="6D9A2F65">
      <w:pPr>
        <w:pStyle w:val="4"/>
        <w:keepNext w:val="0"/>
        <w:keepLines w:val="0"/>
        <w:widowControl/>
        <w:suppressLineNumbers w:val="0"/>
        <w:spacing w:before="0" w:beforeAutospacing="0" w:line="360" w:lineRule="auto"/>
        <w:ind w:firstLine="520" w:firstLineChars="200"/>
        <w:rPr>
          <w:rFonts w:hint="default" w:ascii="Times New Roman" w:hAnsi="Times New Roman" w:eastAsia="sans-serif" w:cs="Times New Roman"/>
        </w:rPr>
      </w:pPr>
      <w:r>
        <w:rPr>
          <w:rFonts w:hint="default" w:ascii="Times New Roman" w:hAnsi="Times New Roman" w:eastAsia="sans-serif" w:cs="Times New Roman"/>
        </w:rPr>
        <w:t>5. Factibilidad Legal</w:t>
      </w:r>
    </w:p>
    <w:p w14:paraId="07965E90">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El proyecto es jurídicamente viable dado que se desarrolla bajo el estricto cumplimiento de los estatutos, reglamentos y políticas académicas vigentes de la </w:t>
      </w:r>
      <w:r>
        <w:rPr>
          <w:rFonts w:hint="default" w:ascii="Times New Roman" w:hAnsi="Times New Roman" w:eastAsia="sans-serif" w:cs="Times New Roman"/>
          <w:b/>
          <w:bCs/>
        </w:rPr>
        <w:t>Universidad de Guayaquil</w:t>
      </w:r>
      <w:r>
        <w:rPr>
          <w:rFonts w:hint="default" w:ascii="Times New Roman" w:hAnsi="Times New Roman" w:eastAsia="sans-serif" w:cs="Times New Roman"/>
        </w:rPr>
        <w:t xml:space="preserve">. Adicionalmente, el uso exclusivo de herramientas de código abierto bajo licencias MIT y GNU garantiza que no se vulneren los derechos de propiedad intelectual de terceros ni se incurra en infracciones legales por uso indebido de software comercial. La arquitectura técnica de la Wallet no almacena las llaves privadas de los usuarios en servidores centralizados (arquitectura </w:t>
      </w:r>
      <w:r>
        <w:rPr>
          <w:rFonts w:hint="default" w:ascii="Times New Roman" w:hAnsi="Times New Roman" w:eastAsia="sans-serif" w:cs="Times New Roman"/>
          <w:i/>
          <w:iCs/>
        </w:rPr>
        <w:t>non-custodial</w:t>
      </w:r>
      <w:r>
        <w:rPr>
          <w:rFonts w:hint="default" w:ascii="Times New Roman" w:hAnsi="Times New Roman" w:eastAsia="sans-serif" w:cs="Times New Roman"/>
        </w:rPr>
        <w:t xml:space="preserve">), lo cual se alinea de manera óptima con las normativas internacionales de protección de datos personales y privacidad digital de los ciudadanos en el territorio ecuatoriano. </w:t>
      </w:r>
    </w:p>
    <w:p w14:paraId="073157E4">
      <w:pPr>
        <w:pStyle w:val="4"/>
        <w:keepNext w:val="0"/>
        <w:keepLines w:val="0"/>
        <w:widowControl/>
        <w:suppressLineNumbers w:val="0"/>
        <w:spacing w:before="0" w:beforeAutospacing="0" w:line="360" w:lineRule="auto"/>
        <w:ind w:firstLine="520" w:firstLineChars="200"/>
        <w:rPr>
          <w:rFonts w:hint="default" w:ascii="Times New Roman" w:hAnsi="Times New Roman" w:eastAsia="sans-serif" w:cs="Times New Roman"/>
        </w:rPr>
      </w:pPr>
      <w:r>
        <w:rPr>
          <w:rFonts w:hint="default" w:ascii="Times New Roman" w:hAnsi="Times New Roman" w:eastAsia="sans-serif" w:cs="Times New Roman"/>
        </w:rPr>
        <w:t>6. Metodología Elegida y Por Qué</w:t>
      </w:r>
    </w:p>
    <w:p w14:paraId="2239F046">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Para la ejecución y control de este proyecto de desarrollo tecnológico se ha seleccionado el </w:t>
      </w:r>
      <w:r>
        <w:rPr>
          <w:rFonts w:hint="default" w:ascii="Times New Roman" w:hAnsi="Times New Roman" w:eastAsia="sans-serif" w:cs="Times New Roman"/>
          <w:b/>
          <w:bCs/>
        </w:rPr>
        <w:t>Modelo Metodológico en Cascada (Waterfall)</w:t>
      </w:r>
      <w:r>
        <w:rPr>
          <w:rFonts w:hint="default" w:ascii="Times New Roman" w:hAnsi="Times New Roman" w:eastAsia="sans-serif" w:cs="Times New Roman"/>
        </w:rPr>
        <w:t xml:space="preserve">. </w:t>
      </w:r>
    </w:p>
    <w:p w14:paraId="0B0E2D02">
      <w:pPr>
        <w:pStyle w:val="5"/>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¿Por qué se eligió esta metodología?</w:t>
      </w:r>
    </w:p>
    <w:p w14:paraId="22EB7B8D">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La naturaleza crítica y de alta seguridad que exige una Wallet digital orientada a blockchain requiere un flujo de trabajo riguroso, secuencial y completamente predecible. A diferencia de otras aplicaciones web comunes, el manejo de algoritmos criptográficos (como la derivación de llaves basadas en BIP32 y BIP39) no permite ambigüedades ni cambios drásticos sobre la marcha, ya que un error en la base lógica comprometería la seguridad de los fondos de los usuarios. </w:t>
      </w:r>
    </w:p>
    <w:p w14:paraId="334C3A63">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La metodología en cascada permite asegurar que cada fase sea completada, verificada y documentada antes de pasar a la siguiente: </w:t>
      </w:r>
    </w:p>
    <w:p w14:paraId="69F25196">
      <w:pPr>
        <w:pStyle w:val="10"/>
        <w:keepNext w:val="0"/>
        <w:keepLines w:val="0"/>
        <w:widowControl/>
        <w:suppressLineNumbers w:val="0"/>
        <w:spacing w:before="0" w:beforeAutospacing="0" w:line="360" w:lineRule="auto"/>
        <w:ind w:left="720" w:firstLine="480" w:firstLineChars="200"/>
        <w:rPr>
          <w:rFonts w:hint="default" w:ascii="Times New Roman" w:hAnsi="Times New Roman" w:eastAsia="sans-serif" w:cs="Times New Roman"/>
        </w:rPr>
      </w:pPr>
      <w:r>
        <w:rPr>
          <w:rFonts w:hint="default" w:ascii="Times New Roman" w:hAnsi="Times New Roman" w:eastAsia="sans-serif" w:cs="Times New Roman"/>
          <w:b/>
          <w:bCs/>
        </w:rPr>
        <w:t>Requisitos:</w:t>
      </w:r>
      <w:r>
        <w:rPr>
          <w:rFonts w:hint="default" w:ascii="Times New Roman" w:hAnsi="Times New Roman" w:eastAsia="sans-serif" w:cs="Times New Roman"/>
        </w:rPr>
        <w:t xml:space="preserve"> Permite congelar con exactitud los estándares criptográficos y las cadenas de bloques con las que operará la Wallet. </w:t>
      </w:r>
    </w:p>
    <w:p w14:paraId="3BBB6B79">
      <w:pPr>
        <w:pStyle w:val="10"/>
        <w:keepNext w:val="0"/>
        <w:keepLines w:val="0"/>
        <w:widowControl/>
        <w:suppressLineNumbers w:val="0"/>
        <w:spacing w:before="0" w:beforeAutospacing="0" w:line="360" w:lineRule="auto"/>
        <w:ind w:left="720" w:firstLine="480" w:firstLineChars="200"/>
        <w:rPr>
          <w:rFonts w:hint="default" w:ascii="Times New Roman" w:hAnsi="Times New Roman" w:eastAsia="sans-serif" w:cs="Times New Roman"/>
        </w:rPr>
      </w:pPr>
      <w:r>
        <w:rPr>
          <w:rFonts w:hint="default" w:ascii="Times New Roman" w:hAnsi="Times New Roman" w:eastAsia="sans-serif" w:cs="Times New Roman"/>
          <w:b/>
          <w:bCs/>
        </w:rPr>
        <w:t>Diseño:</w:t>
      </w:r>
      <w:r>
        <w:rPr>
          <w:rFonts w:hint="default" w:ascii="Times New Roman" w:hAnsi="Times New Roman" w:eastAsia="sans-serif" w:cs="Times New Roman"/>
        </w:rPr>
        <w:t xml:space="preserve"> Se define toda la arquitectura lógica y matemática de las llaves antes de escribir una sola línea de código. </w:t>
      </w:r>
    </w:p>
    <w:p w14:paraId="50ABD1CC">
      <w:pPr>
        <w:pStyle w:val="10"/>
        <w:keepNext w:val="0"/>
        <w:keepLines w:val="0"/>
        <w:widowControl/>
        <w:suppressLineNumbers w:val="0"/>
        <w:spacing w:before="0" w:beforeAutospacing="0" w:line="360" w:lineRule="auto"/>
        <w:ind w:left="720" w:firstLine="480" w:firstLineChars="200"/>
        <w:rPr>
          <w:rFonts w:hint="default" w:ascii="Times New Roman" w:hAnsi="Times New Roman" w:eastAsia="sans-serif" w:cs="Times New Roman"/>
        </w:rPr>
      </w:pPr>
      <w:r>
        <w:rPr>
          <w:rFonts w:hint="default" w:ascii="Times New Roman" w:hAnsi="Times New Roman" w:eastAsia="sans-serif" w:cs="Times New Roman"/>
          <w:b/>
          <w:bCs/>
        </w:rPr>
        <w:t>Desarrollo:</w:t>
      </w:r>
      <w:r>
        <w:rPr>
          <w:rFonts w:hint="default" w:ascii="Times New Roman" w:hAnsi="Times New Roman" w:eastAsia="sans-serif" w:cs="Times New Roman"/>
        </w:rPr>
        <w:t xml:space="preserve"> Permite a los desarrolladores concentrarse en la implementación limpia de la sintaxis y los módulos definidos. </w:t>
      </w:r>
    </w:p>
    <w:p w14:paraId="48994F02">
      <w:pPr>
        <w:pStyle w:val="10"/>
        <w:keepNext w:val="0"/>
        <w:keepLines w:val="0"/>
        <w:widowControl/>
        <w:suppressLineNumbers w:val="0"/>
        <w:spacing w:before="0" w:beforeAutospacing="0" w:line="360" w:lineRule="auto"/>
        <w:ind w:left="720" w:firstLine="480" w:firstLineChars="200"/>
        <w:rPr>
          <w:rFonts w:hint="default" w:ascii="Times New Roman" w:hAnsi="Times New Roman" w:eastAsia="sans-serif" w:cs="Times New Roman"/>
        </w:rPr>
      </w:pPr>
      <w:r>
        <w:rPr>
          <w:rFonts w:hint="default" w:ascii="Times New Roman" w:hAnsi="Times New Roman" w:eastAsia="sans-serif" w:cs="Times New Roman"/>
          <w:b/>
          <w:bCs/>
        </w:rPr>
        <w:t>Verificación:</w:t>
      </w:r>
      <w:r>
        <w:rPr>
          <w:rFonts w:hint="default" w:ascii="Times New Roman" w:hAnsi="Times New Roman" w:eastAsia="sans-serif" w:cs="Times New Roman"/>
        </w:rPr>
        <w:t xml:space="preserve"> Esencial para someter el software a auditorías rigurosas de seguridad y control de errores sin interferencias de cambios funcionales de último minuto. </w:t>
      </w:r>
    </w:p>
    <w:p w14:paraId="7FF43971">
      <w:pPr>
        <w:pStyle w:val="10"/>
        <w:keepNext w:val="0"/>
        <w:keepLines w:val="0"/>
        <w:widowControl/>
        <w:suppressLineNumbers w:val="0"/>
        <w:spacing w:before="0" w:beforeAutospacing="0" w:line="360" w:lineRule="auto"/>
        <w:ind w:left="720" w:firstLine="480" w:firstLineChars="200"/>
        <w:rPr>
          <w:rFonts w:hint="default" w:ascii="Times New Roman" w:hAnsi="Times New Roman" w:eastAsia="sans-serif" w:cs="Times New Roman"/>
        </w:rPr>
      </w:pPr>
      <w:r>
        <w:rPr>
          <w:rFonts w:hint="default" w:ascii="Times New Roman" w:hAnsi="Times New Roman" w:eastAsia="sans-serif" w:cs="Times New Roman"/>
          <w:b/>
          <w:bCs/>
        </w:rPr>
        <w:t>Mantenimiento:</w:t>
      </w:r>
      <w:r>
        <w:rPr>
          <w:rFonts w:hint="default" w:ascii="Times New Roman" w:hAnsi="Times New Roman" w:eastAsia="sans-serif" w:cs="Times New Roman"/>
        </w:rPr>
        <w:t xml:space="preserve"> Asegura una base documental sólida para futuras actualizaciones escalables del sistema. </w:t>
      </w:r>
    </w:p>
    <w:p w14:paraId="4F6FF07B">
      <w:pPr>
        <w:pStyle w:val="10"/>
        <w:keepNext w:val="0"/>
        <w:keepLines w:val="0"/>
        <w:widowControl/>
        <w:suppressLineNumbers w:val="0"/>
        <w:spacing w:before="0" w:beforeAutospacing="0" w:line="360" w:lineRule="auto"/>
        <w:ind w:firstLine="480" w:firstLineChars="200"/>
        <w:rPr>
          <w:rFonts w:hint="default" w:ascii="Times New Roman" w:hAnsi="Times New Roman" w:eastAsia="sans-serif" w:cs="Times New Roman"/>
        </w:rPr>
      </w:pPr>
      <w:r>
        <w:rPr>
          <w:rFonts w:hint="default" w:ascii="Times New Roman" w:hAnsi="Times New Roman" w:eastAsia="sans-serif" w:cs="Times New Roman"/>
        </w:rPr>
        <w:t xml:space="preserve">Este enfoque ordenado y manejable garantiza la entrega de un producto estable que mitiga de forma severa la presencia de fallos críticos en el manejo de activos digitales. </w:t>
      </w:r>
    </w:p>
    <w:p w14:paraId="1EE95A7B">
      <w:pPr>
        <w:spacing w:line="480" w:lineRule="auto"/>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AMGDT">
    <w:altName w:val="Segoe UI Semilight"/>
    <w:panose1 w:val="020004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UI Semilight">
    <w:panose1 w:val="020B04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6D6908"/>
    <w:rsid w:val="266D6908"/>
    <w:rsid w:val="697C5A9F"/>
    <w:rsid w:val="6EFA2CD0"/>
    <w:rsid w:val="78515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Strong"/>
    <w:basedOn w:val="7"/>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1104</Words>
  <Characters>6479</Characters>
  <Lines>0</Lines>
  <Paragraphs>0</Paragraphs>
  <TotalTime>95</TotalTime>
  <ScaleCrop>false</ScaleCrop>
  <LinksUpToDate>false</LinksUpToDate>
  <CharactersWithSpaces>7523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2026-06-12T01:56:00Z</dcterms:created>
  <dc:creator>Jackson Banchón</dc:creator>
  <cp:lastModifiedBy>Ventas1 Comerselec</cp:lastModifiedBy>
  <dcterms:modified xsi:type="dcterms:W3CDTF">2026-06-13T15:58:53Z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1F71D79843694EB7B63E40E5F05EE82F_11</vt:lpwstr>
  </property>
  <property fmtid="{D5CDD505-2E9C-101B-9397-08002B2CF9AE}" pid="4" name="KSOTemplateDocerSaveRecord">
    <vt:lpwstr>eyJoZGlkIjoiODk0OWQyZWIzNDI2ZThjMDk0ODcwNjUwN2E2N2RjMTciLCJ1c2VySWQiOiIxODAyMjM4MDAxNjg3OSJ9</vt:lpwstr>
  </property>
</Properties>
</file>