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Đại lý Vi phân Thích ứng và Tự Hiệu chuẩn: Hướng đi Mới cho Hệ thống Đại lý Vạn năng thời gian kiểm thử</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Khái quát về Xu hướng Inference-Time Scaling trong Hệ thống Đại lý Vạn năng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dịch của các mô hình ngôn ngữ lớn (LLM) và mô hình đa phương thức (VLM) sang kỷ nguyên mở rộng quy mô tính toán thời gian kiểm thử (inference-time scaling) đã định hình lại ranh giới của trí tuệ nhân tạo độc lập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Quy luật tỷ lệ kép Train-to-Test (</w:t>
      </w:r>
      <w:r w:rsidDel="00000000" w:rsidR="00000000" w:rsidRPr="00000000">
        <w:rPr>
          <w:rFonts w:ascii="Google Sans" w:cs="Google Sans" w:eastAsia="Google Sans" w:hAnsi="Google Sans"/>
          <w:color w:val="1f1f1f"/>
        </w:rPr>
        <w:drawing>
          <wp:inline distB="19050" distT="19050" distL="19050" distR="19050">
            <wp:extent cx="219908" cy="251324"/>
            <wp:effectExtent b="0" l="0" r="0" t="0"/>
            <wp:docPr id="2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19908" cy="251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chỉ ra rằng việc tối ưu hóa đồng thời kích thước mô hình, số lượng mã thông báo huấn luyện và số lượng mẫu suy luận dưới một mức ngân sách cố định là chìa khóa để đạt hiệu năng tối ưu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Trong các luồng công việc phức tạp đòi hỏi sự tương tác với môi trường bên ngoài, việc cho phép các hệ thống đại lý phân bổ tài nguyên suy luận linh hoạt giúp tăng cường đáng kể khả năng giải quyết vấn đề</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vậy, các kỹ thuật mở rộng quy mô tính toán thời gian kiểm thử hiện tại vẫn phải đối mặt với nhiều thách thức nghiêm trọng về cả mặt lý thuyết lẫn thực tiễn vận hành: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kém hiệu quả của các thuật toán tìm kiếm rời rạc:</w:t>
      </w:r>
      <w:r w:rsidDel="00000000" w:rsidR="00000000" w:rsidRPr="00000000">
        <w:rPr>
          <w:rFonts w:ascii="Google Sans" w:cs="Google Sans" w:eastAsia="Google Sans" w:hAnsi="Google Sans"/>
          <w:color w:val="1f1f1f"/>
          <w:rtl w:val="0"/>
        </w:rPr>
        <w:t xml:space="preserve"> Các thuật toán phổ biến như tìm kiếm cây Monte Carlo (MCTS) hoặc lấy mẫu song song (Best-of-N) đòi hỏi việc thử-sai liên tục trong không gian văn bản rời rạc, gây bùng nổ chi phí tính toán và làm tăng độ trễ hệ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Hiện tượng quá tải tư duy (Overthinking) và lệch hướng quyết định:</w:t>
      </w:r>
      <w:r w:rsidDel="00000000" w:rsidR="00000000" w:rsidRPr="00000000">
        <w:rPr>
          <w:rFonts w:ascii="Google Sans" w:cs="Google Sans" w:eastAsia="Google Sans" w:hAnsi="Google Sans"/>
          <w:color w:val="1f1f1f"/>
          <w:rtl w:val="0"/>
        </w:rPr>
        <w:t xml:space="preserve"> Khi thời gian suy luận kéo dài, mô hình thường gặp phải hiện tượng suy giảm hiệu năng theo dạng đồ thị hình chữ U ngược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Việc lập luận quá dài khiến đại lý dễ rơi vào trạng thái mất phương hướng, tự động loại bỏ các câu trả lời đúng đã tìm ra trước đó</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hoặc tạo ra các bước trung gian lặp đi lặp lại do sự lệch pha giữa phân phối huấn luyện tiêu chuẩn (Cross-Entropy) và mục tiêu bao phủ thời gian kiểm thử</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Thiếu khả năng tự hiệu chuẩn lòng tin (Confidence Calibration):</w:t>
      </w:r>
      <w:r w:rsidDel="00000000" w:rsidR="00000000" w:rsidRPr="00000000">
        <w:rPr>
          <w:rFonts w:ascii="Google Sans" w:cs="Google Sans" w:eastAsia="Google Sans" w:hAnsi="Google Sans"/>
          <w:color w:val="1f1f1f"/>
          <w:rtl w:val="0"/>
        </w:rPr>
        <w:t xml:space="preserve"> Việc tối ưu hóa mô hình chỉ dựa trên kết quả cuối cùng (Outcome-driven RL) dễ khiến đại lý trở nên quá tự tin vào các quyết định sai lầm, dẫn đến hiện tượng ảo tưởng logic và không thể tự đánh giá độ tin cậy của các công cụ được gọi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triệt để các rào cản này và hướng tới một giải pháp đại lý vạn năng có khả năng triển khai thực nghiệm nhanh, nghiên cứu này đề xuất kiến trúc </w:t>
      </w:r>
      <w:r w:rsidDel="00000000" w:rsidR="00000000" w:rsidRPr="00000000">
        <w:rPr>
          <w:rFonts w:ascii="Google Sans" w:cs="Google Sans" w:eastAsia="Google Sans" w:hAnsi="Google Sans"/>
          <w:b w:val="1"/>
          <w:bCs w:val="1"/>
          <w:color w:val="1f1f1f"/>
          <w:rtl w:val="0"/>
        </w:rPr>
        <w:t xml:space="preserve">Adaptive Calibrated Differentiable Agentic Networks (ACDAN)</w:t>
      </w:r>
      <w:r w:rsidDel="00000000" w:rsidR="00000000" w:rsidRPr="00000000">
        <w:rPr>
          <w:rFonts w:ascii="Google Sans" w:cs="Google Sans" w:eastAsia="Google Sans" w:hAnsi="Google Sans"/>
          <w:color w:val="1f1f1f"/>
          <w:rtl w:val="0"/>
        </w:rPr>
        <w:t xml:space="preserve">. Đây là một khung hành động thống nhất tích hợp tối ưu hóa vi phân thời gian kiểm thử, cơ cấu đồ thị động tự tiến hóa và cơ chế hiệu chuẩn biên độ tin cậy để tối đa hóa hiệu quả xử lý công việc thực tế.</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Đề xuất: Adaptive Calibrated Differentiable Agentic Networks (ACDAN)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kiến trúc ACDAN được thiết kế để hợp nhất khả năng lập luận ẩn, tối ưu hóa đạo hàm bậc một và điều phối công cụ linh hoạt thành một thực thể đại lý tự cải tiến duy nhất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Khác với các đại lý truyền thống dựa trên các mẫu lập luận văn bản cố định, ACDAN vận hành dựa trên sự kết hợp đồng bộ của bốn mô-đun cốt lõi dưới đây.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ACDAN: HỆ THỐNG ĐẠI LÝ VI PHÂN THÍCH ỨNG           │</w:t>
        <w:br w:type="textWrapping"/>
        <w:t xml:space="preserve">└────────────────────────────────┬────────────────────────────────┘</w:t>
        <w:br w:type="textWrapping"/>
        <w:t xml:space="preserve">                                 │</w:t>
        <w:br w:type="textWrapping"/>
        <w:t xml:space="preserve">         ┌───────────────────────┴───────────────────────┐</w:t>
        <w:br w:type="textWrapping"/>
        <w:t xml:space="preserve">         ▼                                               ▼</w:t>
        <w:br w:type="textWrapping"/>
        <w:t xml:space="preserve">┌─────────────────────────────────┐             ┌─────────────────────────────────┐</w:t>
        <w:br w:type="textWrapping"/>
        <w:t xml:space="preserve">│  MÔ-ĐUN LẬP LUẬN KHÔNG GIAN ẨN  │             │   TỐI ƯU HÓA ĐẠO HÀM BẬC NHẤT   │</w:t>
        <w:br w:type="textWrapping"/>
        <w:t xml:space="preserve">│ - Unroll khối tuần hoàn ẩn [4]  │             │ - Differentiable Text Optimization│</w:t>
        <w:br w:type="textWrapping"/>
        <w:t xml:space="preserve">│ - In-Place TTT dynamic update [44]             │ - Cập nhật trực tiếp logits [1] │</w:t>
        <w:br w:type="textWrapping"/>
        <w:t xml:space="preserve">└────────────────┬────────────────┘             └────────────────┬────────────────┘</w:t>
        <w:br w:type="textWrapping"/>
        <w:t xml:space="preserve">                 │                                               │</w:t>
        <w:br w:type="textWrapping"/>
        <w:t xml:space="preserve">                 └───────────────────────┬───────────────────────┘</w:t>
        <w:br w:type="textWrapping"/>
        <w:t xml:space="preserve">                                         ▼</w:t>
        <w:br w:type="textWrapping"/>
        <w:t xml:space="preserve">                        ┌─────────────────────────────────┐</w:t>
        <w:br w:type="textWrapping"/>
        <w:t xml:space="preserve">                        │   ĐỒ THỊ ĐỘNG HAI LỚP THÍCH ỨNG │</w:t>
        <w:br w:type="textWrapping"/>
        <w:t xml:space="preserve">                        │ - Lớp Thực thi EX (Điều khiển)  │</w:t>
        <w:br w:type="textWrapping"/>
        <w:t xml:space="preserve">                        │ - Lớp Phụ thuộc ED (Dữ liệu)    │</w:t>
        <w:br w:type="textWrapping"/>
        <w:t xml:space="preserve">                        │ - Inertial Sensing gọi công cụ  │</w:t>
        <w:br w:type="textWrapping"/>
        <w:t xml:space="preserve">                        └────────────────┬────────────────┘</w:t>
        <w:br w:type="textWrapping"/>
        <w:t xml:space="preserve">                                         │</w:t>
        <w:br w:type="textWrapping"/>
        <w:t xml:space="preserve">                                         ▼</w:t>
        <w:br w:type="textWrapping"/>
        <w:t xml:space="preserve">                        ┌─────────────────────────────────┐</w:t>
        <w:br w:type="textWrapping"/>
        <w:t xml:space="preserve">                        │  TỰ HIỆU CHUẨN &amp; TRÁNH QUÁ TẢI  │</w:t>
        <w:br w:type="textWrapping"/>
        <w:t xml:space="preserve">                        │ - TIM-PRM &amp; Independent Asking  │</w:t>
        <w:br w:type="textWrapping"/>
        <w:t xml:space="preserve">                        │ - RLCM Confidence Probe [12]    │</w:t>
        <w:br w:type="textWrapping"/>
        <w:t xml:space="preserve">                        │ - DECS Decoupled Rewards [7]    │</w:t>
        <w:br w:type="textWrapping"/>
        <w:t xml:space="preserve">                        └─────────────────────────────────┘</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Lập luận ẩn và Huấn luyện thời gian kiểm thử tại chỗ (In-Place TTT)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chỉ tạo ra các chuỗi lập luận văn bản dài dòng gây tiêu tốn tài nguyên KV-cache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ACDAN tích hợp cơ chế lập luận ẩn bằng cách lặp lại một khối tuần hoàn ẩn (recurrent block) trực tiếp trong không gian biểu diễn đặc trưng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Cơ chế này cho phép mô hình mở rộng độ sâu suy luận một cách linh hoạt mà không bị giới hạn bởi độ dài cửa sổ ngữ cảnh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Đồng thời, hệ thống áp dụng kỹ thuật Huấn luyện thời gian kiểm thử tại chỗ (In-Place Test-Time Training - In-Place TTT)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Khi đại lý đối mặt với một tác vụ mới, mô hình sẽ cập nhật động các trọng số nội tại của mình thông qua một tác vụ tự giám sát phụ trợ được định nghĩa trên dữ liệu đầu vào, giúp tối ưu hóa khả năng thích ứng với các phân phối dữ liệu lạ</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Văn bản Vi phân (Differentiable Textual Optimization - DTO)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khắc phục nhược điểm của các bộ tìm kiếm rời rạc, ACDAN chuyển đổi quá trình tinh chỉnh quyết định thành bài toán tối ưu hóa liên tục nhờ thuật toán DTO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Tại mỗi bước hành động, thay vì lấy mẫu ngẫu nhiên nhiều chuỗi phản hồi, đại lý sinh ra một bộ logits mềm cho toàn bộ chuỗi hành động dự kiến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Sau đó, một mô hình phản hồi tiến trình đa phương thức (Multimodal PRM) sẽ đánh giá chuỗi logits này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Đạo hàm từ PRM được truyền ngược trực tiếp để cập nhật ma trận logits, tinh chỉnh chuỗi hành động tiệm cận về phía đạt phần thưởng cao nhất trước khi thực hiện bước giải mã token tiếp theo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 thị Động Hai Lớp và Phán đoán Quán tính (Inertial Sensing)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Luồng công việc của ACDAN được mô hình hóa như một Đồ thị Tính toán Đại lý Động (Dynamic Agentic Computation Graph - ACG) gồm hai lớp cạnh song song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Lớp Thực thi (</w:t>
      </w:r>
      <w:r w:rsidDel="00000000" w:rsidR="00000000" w:rsidRPr="00000000">
        <w:rPr>
          <w:rFonts w:ascii="Google Sans" w:cs="Google Sans" w:eastAsia="Google Sans" w:hAnsi="Google Sans"/>
          <w:b w:val="1"/>
          <w:bCs w:val="1"/>
          <w:color w:val="1f1f1f"/>
        </w:rPr>
        <w:drawing>
          <wp:inline distB="19050" distT="19050" distL="19050" distR="19050">
            <wp:extent cx="278725" cy="247756"/>
            <wp:effectExtent b="0" l="0" r="0" t="0"/>
            <wp:docPr id="2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78725" cy="24775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Biểu diễn thứ tự kích hoạt vật lý của các nút quyết định, gọi công cụ, và tài nguyên hệ thống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Lớp này được quan sát trực tiếp và đóng vai trò phát hiện các lỗi điều phối luồng công việc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Lớp Phụ thuộc (</w:t>
      </w:r>
      <w:r w:rsidDel="00000000" w:rsidR="00000000" w:rsidRPr="00000000">
        <w:rPr>
          <w:rFonts w:ascii="Google Sans" w:cs="Google Sans" w:eastAsia="Google Sans" w:hAnsi="Google Sans"/>
          <w:b w:val="1"/>
          <w:bCs w:val="1"/>
          <w:color w:val="1f1f1f"/>
        </w:rPr>
        <w:drawing>
          <wp:inline distB="19050" distT="19050" distL="19050" distR="19050">
            <wp:extent cx="271820" cy="241618"/>
            <wp:effectExtent b="0" l="0" r="0" t="0"/>
            <wp:docPr id="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820" cy="24161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Biểu diễn mối liên kết thực tế về mặt dữ liệu và logic giữa các nút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Lớp phụ thuộc này được đánh giá qua các mức độ nghiêm ngặt (quan sát, khai báo hoặc suy diễn) để định vị chính xác các điểm nghẽn logic hoặc các nhánh tính toán dư thừa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giảm thiểu chi phí suy luận LLM cho các tác vụ mang tính lặp lại, ACDAN áp dụng nguyên lý Quán tính Sử dụng Công cụ (Tool Usage Inertia) từ AutoTool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Hệ thống xây dựng một đồ thị chuyển trạng thái xác suất từ vết lịch sử thực thi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Trước mỗi hành động, bộ cảm biến quán tính (Inertial Sensing) sẽ đánh giá xem chuỗi chuyển tiếp công cụ hiện tại có nằm trong vùng quán tính cao hay không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Nếu có, đại lý sẽ tự động kích hoạt công cụ và điền tham số trực tiếp mà không cần gọi đến mô hình ngôn ngữ lớn để lập kế hoạch, giúp tiết kiệm đáng kể tài nguyên hệ thống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Tự Kiểm chứng Đa phương thức và Hiệu chuẩn Lòng tin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Đại lý vạn năng ACDAN được tích hợp công cụ kiểm chứng TIM-PRM để biến quá trình đánh giá từ một phân loại thụ động thành một cuộc điều tra chủ động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Khi cần xác thực thông tin, đại lý áp dụng cơ chế Đặt Câu hỏi Độc lập (Independent Question Asking), truy vấn bằng chứng từ các công cụ ngoại vi hoặc môi trường sandbox mà không bị phụ thuộc vào ngữ cảnh lập luận hiện tại, giúp loại bỏ hoàn toàn thiên kiến xác nhận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đó, nhằm giải quyết triệt để sự mất cân đối lòng tin, ACDAN áp dụng phương pháp Học tăng cường với Biên độ Tin cậy (Reinforcement Learning with Confidence Margin - RLCM)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Một đầu dò độ tin cậy siêu nhẹ (confidence probe) được gắn vào các trạng thái ẩn trung gian để dự đoán xác suất tạo ra câu trả lời đúng từ tiền tố lập luận hiện tại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Biên độ tin cậy này sau đó được sử dụng để điều phối quá trình tìm kiếm thích ứng và kiểm soát rủi ro của đại lý</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Toán học của Hệ thống ACDAN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ACDAN vận hành dựa trên một cơ sở toán học chặt chẽ, tối ưu hóa đồng thời tính đúng đắn của hành động và hiệu quả sử dụng tài nguyên tính toán.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Mục tiêu Tối ưu hóa Đạo hàm thời gian kiểm thử</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sử tại bước lập kế hoạch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đại lý cần đưa ra chuỗi token hành động </w:t>
      </w:r>
      <w:r w:rsidDel="00000000" w:rsidR="00000000" w:rsidRPr="00000000">
        <w:rPr>
          <w:rFonts w:ascii="Google Sans" w:cs="Google Sans" w:eastAsia="Google Sans" w:hAnsi="Google Sans"/>
          <w:color w:val="1f1f1f"/>
        </w:rPr>
        <w:drawing>
          <wp:inline distB="19050" distT="19050" distL="19050" distR="19050">
            <wp:extent cx="162997" cy="248376"/>
            <wp:effectExtent b="0" l="0" r="0" t="0"/>
            <wp:docPr id="2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62997" cy="248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độ dài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29"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ký tự từ bộ từ điển </w:t>
      </w:r>
      <w:r w:rsidDel="00000000" w:rsidR="00000000" w:rsidRPr="00000000">
        <w:rPr>
          <w:rFonts w:ascii="Google Sans" w:cs="Google Sans" w:eastAsia="Google Sans" w:hAnsi="Google Sans"/>
          <w:color w:val="1f1f1f"/>
        </w:rPr>
        <w:drawing>
          <wp:inline distB="19050" distT="19050" distL="19050" distR="19050">
            <wp:extent cx="136208" cy="248378"/>
            <wp:effectExtent b="0" l="0" r="0" t="0"/>
            <wp:docPr id="2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36208" cy="248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 biểu diễn chuỗi hành động dưới dạng logits mềm </w:t>
      </w:r>
      <w:r w:rsidDel="00000000" w:rsidR="00000000" w:rsidRPr="00000000">
        <w:rPr>
          <w:rFonts w:ascii="Google Sans" w:cs="Google Sans" w:eastAsia="Google Sans" w:hAnsi="Google Sans"/>
          <w:color w:val="1f1f1f"/>
        </w:rPr>
        <w:drawing>
          <wp:inline distB="19050" distT="19050" distL="19050" distR="19050">
            <wp:extent cx="948452" cy="242804"/>
            <wp:effectExtent b="0" l="0" r="0" t="0"/>
            <wp:docPr id="3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948452" cy="24280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Hàm mục tiêu cần tối thiểu hóa tại thời điểm kiểm thử được thiết lập như sau: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9916"/>
            <wp:effectExtent b="0" l="0" r="0" t="0"/>
            <wp:docPr id="30"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05500" cy="70991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40594" cy="244707"/>
            <wp:effectExtent b="0" l="0" r="0" t="0"/>
            <wp:docPr id="3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940594" cy="24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log-likelihood của chuỗi hành động được dự đoán bởi mô hình ngôn ngữ lõi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833563" cy="243461"/>
            <wp:effectExtent b="0" l="0" r="0" t="0"/>
            <wp:docPr id="3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833563" cy="243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hàm phần thưởng tiến trình từ mô hình kiểm chứng đa phương thức tích hợp công cụ</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76870" cy="246135"/>
            <wp:effectExtent b="0" l="0" r="0" t="0"/>
            <wp:docPr id="3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76870" cy="246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đại diện cho hàm phạt độ dài chuỗi sinh ra nhằm ngăn chặn hiện tượng lặp từ và lập luận dư thừa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75097" cy="245575"/>
            <wp:effectExtent b="0" l="0" r="0" t="0"/>
            <wp:docPr id="35"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775097" cy="245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entropy von Neumann của ma trận kề đại diện cho Lớp Phụ thuộc </w:t>
      </w:r>
      <w:r w:rsidDel="00000000" w:rsidR="00000000" w:rsidRPr="00000000">
        <w:rPr>
          <w:rFonts w:ascii="Google Sans" w:cs="Google Sans" w:eastAsia="Google Sans" w:hAnsi="Google Sans"/>
          <w:color w:val="1f1f1f"/>
        </w:rPr>
        <w:drawing>
          <wp:inline distB="19050" distT="19050" distL="19050" distR="19050">
            <wp:extent cx="271820" cy="241618"/>
            <wp:effectExtent b="0" l="0" r="0" t="0"/>
            <wp:docPr id="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820" cy="241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thúc đẩy tính đa dạng của các đường dẫn dữ liệu và ngăn chặn hiện tượng sụp đổ không gian trạng thái ẩn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22208" cy="245745"/>
            <wp:effectExtent b="0" l="0" r="0" t="0"/>
            <wp:docPr id="3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22208" cy="24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các hệ số điều phối thích ứng tùy thuộc vào độ khó của bài toán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bậc một qua Differentiable Textual Optimization (DTO)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cập nhật logits mềm </w:t>
      </w:r>
      <w:r w:rsidDel="00000000" w:rsidR="00000000" w:rsidRPr="00000000">
        <w:rPr>
          <w:rFonts w:ascii="Google Sans" w:cs="Google Sans" w:eastAsia="Google Sans" w:hAnsi="Google Sans"/>
          <w:color w:val="1f1f1f"/>
        </w:rPr>
        <w:drawing>
          <wp:inline distB="19050" distT="19050" distL="19050" distR="19050">
            <wp:extent cx="131326" cy="247202"/>
            <wp:effectExtent b="0" l="0" r="0" t="0"/>
            <wp:docPr id="3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31326" cy="247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tại thời điểm kiểm thử được thực hiện lặp thông qua đạo hàm của hàm mục tiêu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680"/>
            <wp:effectExtent b="0" l="0" r="0" t="0"/>
            <wp:docPr id="3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w:t>
      </w:r>
      <w:r w:rsidDel="00000000" w:rsidR="00000000" w:rsidRPr="00000000">
        <w:rPr>
          <w:rFonts w:ascii="Google Sans" w:cs="Google Sans" w:eastAsia="Google Sans" w:hAnsi="Google Sans"/>
          <w:color w:val="1f1f1f"/>
        </w:rPr>
        <w:drawing>
          <wp:inline distB="19050" distT="19050" distL="19050" distR="19050">
            <wp:extent cx="104418" cy="257028"/>
            <wp:effectExtent b="0" l="0" r="0" t="0"/>
            <wp:docPr id="4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104418" cy="257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tốc độ học thời gian kiểm thử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Sau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41"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bước lặp tối ưu hóa liên tục, chuỗi hành động thực tế sẽ được giải mã bằng cách áp dụng phân phối Softmax trực tiếp trên ma trận logits đã được tinh chỉnh </w:t>
      </w:r>
      <w:r w:rsidDel="00000000" w:rsidR="00000000" w:rsidRPr="00000000">
        <w:rPr>
          <w:rFonts w:ascii="Google Sans" w:cs="Google Sans" w:eastAsia="Google Sans" w:hAnsi="Google Sans"/>
          <w:color w:val="1f1f1f"/>
        </w:rPr>
        <w:drawing>
          <wp:inline distB="19050" distT="19050" distL="19050" distR="19050">
            <wp:extent cx="373975" cy="249317"/>
            <wp:effectExtent b="0" l="0" r="0" t="0"/>
            <wp:docPr id="42"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373975" cy="24931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Giám sát Tiến trình bằng Monte Carlo Net Information Gain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gán nhãn chất lượng cho từng bước hành động trung gian mà không phải chịu chi phí gán nhãn thủ công hoặc tính toán Monte Carlo truyền thống có độ phức tạp </w:t>
      </w:r>
      <w:r w:rsidDel="00000000" w:rsidR="00000000" w:rsidRPr="00000000">
        <w:rPr>
          <w:rFonts w:ascii="Google Sans" w:cs="Google Sans" w:eastAsia="Google Sans" w:hAnsi="Google Sans"/>
          <w:color w:val="1f1f1f"/>
        </w:rPr>
        <w:drawing>
          <wp:inline distB="19050" distT="19050" distL="19050" distR="19050">
            <wp:extent cx="873204" cy="212606"/>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873204" cy="212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ACDAN áp dụng cơ chế đánh giá dựa trên Lượng thông tin thu nhận thuần (Net Information Gain - NIG) với độ phức tạp tuyến tính </w:t>
      </w:r>
      <w:r w:rsidDel="00000000" w:rsidR="00000000" w:rsidRPr="00000000">
        <w:rPr>
          <w:rFonts w:ascii="Google Sans" w:cs="Google Sans" w:eastAsia="Google Sans" w:hAnsi="Google Sans"/>
          <w:color w:val="1f1f1f"/>
        </w:rPr>
        <w:drawing>
          <wp:inline distB="19050" distT="19050" distL="19050" distR="19050">
            <wp:extent cx="492681" cy="242550"/>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92681" cy="2425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sử chuỗi lập luận chứa các bước </w:t>
      </w:r>
      <w:r w:rsidDel="00000000" w:rsidR="00000000" w:rsidRPr="00000000">
        <w:rPr>
          <w:rFonts w:ascii="Google Sans" w:cs="Google Sans" w:eastAsia="Google Sans" w:hAnsi="Google Sans"/>
          <w:color w:val="1f1f1f"/>
        </w:rPr>
        <w:drawing>
          <wp:inline distB="19050" distT="19050" distL="19050" distR="19050">
            <wp:extent cx="1618174" cy="244253"/>
            <wp:effectExtent b="0" l="0" r="0" t="0"/>
            <wp:docPr id="1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618174" cy="244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dẫn đến câu trả lời cuối cùng </w:t>
      </w:r>
      <w:r w:rsidDel="00000000" w:rsidR="00000000" w:rsidRPr="00000000">
        <w:rPr>
          <w:rFonts w:ascii="Google Sans" w:cs="Google Sans" w:eastAsia="Google Sans" w:hAnsi="Google Sans"/>
          <w:color w:val="1f1f1f"/>
        </w:rPr>
        <w:drawing>
          <wp:inline distB="19050" distT="19050" distL="19050" distR="19050">
            <wp:extent cx="103108" cy="253805"/>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103108" cy="25380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NIG của bước thứ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nghĩa bằng mức độ đóng góp của bước đó vào việc làm giảm độ bất định của câu trả lời đúng </w:t>
      </w:r>
      <w:r w:rsidDel="00000000" w:rsidR="00000000" w:rsidRPr="00000000">
        <w:rPr>
          <w:rFonts w:ascii="Google Sans" w:cs="Google Sans" w:eastAsia="Google Sans" w:hAnsi="Google Sans"/>
          <w:color w:val="1f1f1f"/>
        </w:rPr>
        <w:drawing>
          <wp:inline distB="19050" distT="19050" distL="19050" distR="19050">
            <wp:extent cx="181451" cy="252454"/>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81451" cy="2524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1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giá trị </w:t>
      </w:r>
      <w:r w:rsidDel="00000000" w:rsidR="00000000" w:rsidRPr="00000000">
        <w:rPr>
          <w:rFonts w:ascii="Google Sans" w:cs="Google Sans" w:eastAsia="Google Sans" w:hAnsi="Google Sans"/>
          <w:color w:val="1f1f1f"/>
        </w:rPr>
        <w:drawing>
          <wp:inline distB="19050" distT="19050" distL="19050" distR="19050">
            <wp:extent cx="684967" cy="243544"/>
            <wp:effectExtent b="0" l="0" r="0" t="0"/>
            <wp:docPr id="2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84967" cy="243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này đóng vai trò là tín hiệu giám sát cực kỳ hiệu quả và rẻ để huấn luyện mô hình PRM của ACDAN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Huấn luyện Chính sách bằng PS-GRPO thích ứng với Biên độ Tin cậy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giai đoạn hậu huấn luyện, ACDAN tối ưu hóa chính sách hành động thông qua thuật toán Group Relative Policy Optimization cải tiến tích hợp giám sát tiến trình (PS-GRPO)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kết hợp với Biên độ Tin cậy của RLCM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Hàm mục tiêu huấn luyện của chính sách </w:t>
      </w:r>
      <w:r w:rsidDel="00000000" w:rsidR="00000000" w:rsidRPr="00000000">
        <w:rPr>
          <w:rFonts w:ascii="Google Sans" w:cs="Google Sans" w:eastAsia="Google Sans" w:hAnsi="Google Sans"/>
          <w:color w:val="1f1f1f"/>
        </w:rPr>
        <w:drawing>
          <wp:inline distB="19050" distT="19050" distL="19050" distR="19050">
            <wp:extent cx="97274" cy="259397"/>
            <wp:effectExtent b="0" l="0" r="0" t="0"/>
            <wp:docPr id="2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97274" cy="259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nghĩa như sau: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55451"/>
            <wp:effectExtent b="0" l="0" r="0" t="0"/>
            <wp:docPr id="22"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05500" cy="105545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lợi thế tương đối </w:t>
      </w:r>
      <w:r w:rsidDel="00000000" w:rsidR="00000000" w:rsidRPr="00000000">
        <w:rPr>
          <w:rFonts w:ascii="Google Sans" w:cs="Google Sans" w:eastAsia="Google Sans" w:hAnsi="Google Sans"/>
          <w:color w:val="1f1f1f"/>
        </w:rPr>
        <w:drawing>
          <wp:inline distB="19050" distT="19050" distL="19050" distR="19050">
            <wp:extent cx="204192" cy="251313"/>
            <wp:effectExtent b="0" l="0" r="0" t="0"/>
            <wp:docPr id="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04192" cy="25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bước lập luận được điều chỉnh dựa trên tín hiệu sụt giảm (drop-moment) của PRM và biên độ tin cậy trung gian </w:t>
      </w:r>
      <w:r w:rsidDel="00000000" w:rsidR="00000000" w:rsidRPr="00000000">
        <w:rPr>
          <w:rFonts w:ascii="Google Sans" w:cs="Google Sans" w:eastAsia="Google Sans" w:hAnsi="Google Sans"/>
          <w:color w:val="1f1f1f"/>
        </w:rPr>
        <w:drawing>
          <wp:inline distB="19050" distT="19050" distL="19050" distR="19050">
            <wp:extent cx="447556" cy="246927"/>
            <wp:effectExtent b="0" l="0" r="0" t="0"/>
            <wp:docPr id="4"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47556" cy="24692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5"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70284" cy="246856"/>
            <wp:effectExtent b="0" l="0" r="0" t="0"/>
            <wp:docPr id="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370284" cy="246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bước thời gian mà tại đó điểm chất lượng lập luận của PRM bị sụt giảm đột ngột dưới một ngưỡng xác định (tín hiệu định vị lỗi)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84741" cy="246193"/>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784741" cy="246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độ tin cậy được dự đoán bởi đầu dò tại bước thứ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93990" cy="243195"/>
            <wp:effectExtent b="0" l="0" r="0" t="0"/>
            <wp:docPr id="9"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493990" cy="243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độ chính xác thực tế của kết quả cuối cùng, đóng vai trò như một mốc hiệu chuẩn margin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sánh Định lượng các Phương pháp Tiếp cận Đại lý thời gian kiểm thử</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chứng minh tính ưu việt của ACDAN đối với các tác vụ văn phòng và giải quyết vấn đề vạn năng, dưới đây là bảng so sánh chi tiết các thuộc tính kỹ thuật và hiệu năng lý thuyết giữa ACDAN và các phương pháp thiết kế đại lý hàng đầu hiện nay.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Thuộc tính So sánh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Lập luận Chuỗi Tuần tự (CoT)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Tìm kiếm Cây Động (I-MCTS / SELA)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Tối ưu hóa Quy trình Đại lý Tĩnh (AFlow / ADAS)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Đại lý ACDAN Đề xuất (Nghiên cứu này)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Không gian Tìm kiếm hành động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Tuyến tính rời rạc (Single-path tokens)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Nhánh rời rạc dạng cây (Discrete tree nodes)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gian đồ thị toán tử tĩnh (Operator graphs)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Liên tục thông qua logits vi phân mềm và lập luận ẩn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gọi công cụ ngoại vi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Kích hoạt thụ động theo từng bước (ReAct)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Tìm kiếm qua các trạng thái gọi công cụ trung gian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cấu hình tĩnh qua các nút API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Tự động kích hoạt quán tính hoặc kiểm chứng chủ động TIM-PRM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Phòng ngừa Quán tính &amp; Quá tải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hỗ trợ (Dễ rơi vào vòng lặp vô hạn)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Hạn chế (Dựa trên bộ lọc tương tự hoặc cắt tỉa thô)</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áp dụng (Quy trình được cố định từ trước)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Thuật toán DECS tách biệt phần thưởng &amp; Cắt tỉa nhánh chết đồ thị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phức tạp gán nhãn tiến trình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có (Outcome-only)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73204" cy="212606"/>
                  <wp:effectExtent b="0" l="0" r="0" t="0"/>
                  <wp:docPr id="1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873204" cy="2126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qua ước lượng Monte Carlo truyền thống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Dựa trên kết quả chạy thực tế của toàn luồng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Tuyến tính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2681" cy="242550"/>
                  <wp:effectExtent b="0" l="0" r="0" t="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92681" cy="242550"/>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qua Net Information Gain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Hiệu chuẩn mức độ lòng tin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Hoàn toàn lệch pha (Gây ảo tưởng logic nặng)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Đọc xác suất trực tiếp từ phân phối mẫu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hỗ trợ</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RLCM gắn đầu dò biên độ tin cậy thực thời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Hiệu quả Token tổng thể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Thấp khi bài toán phức tạp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thấp do bùng nổ số lượng mẫu song song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Thấp trong pha tối ưu hóa cấu trúc ngoại tuyến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Rất cao (Giảm &gt;50% token suy luận nhờ DECS và Quán tính)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Triển khai Thực nghiệm Nhanh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kiến trúc ACDAN được thiết kế tối ưu để có thể triển khai thử nghiệm nhanh chóng trong vòng từ hai đến bốn tuần bằng cách tận dụng các thư viện mã nguồn mở có sẵn và các mô hình nền tảng gọn nhẹ.</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LỘ TRÌNH THỰC NGHIỆM TRONG VÒNG 4 TUẦN             │</w:t>
        <w:br w:type="textWrapping"/>
        <w:t xml:space="preserve">└────────────────────────────────┬────────────────────────────────┘</w:t>
        <w:br w:type="textWrapping"/>
        <w:t xml:space="preserve">                                 │</w:t>
        <w:br w:type="textWrapping"/>
        <w:t xml:space="preserve">         ┌───────────────────────┼───────────────────────┐</w:t>
        <w:br w:type="textWrapping"/>
        <w:t xml:space="preserve">         ▼                       ▼                       ▼</w:t>
        <w:br w:type="textWrapping"/>
        <w:t xml:space="preserve">   [Tuần 1: Thiết lập]     [Tuần 2: Vi phân]       [Tuần 3: Hiệu chuẩn]</w:t>
        <w:br w:type="textWrapping"/>
        <w:t xml:space="preserve">   - OpenHands &amp; Llama3B   - Tích hợp DTO [1]      - Cài đặt RLCM [12]</w:t>
        <w:br w:type="textWrapping"/>
        <w:t xml:space="preserve">   - Xây dựng đồ thị [39]  - Đánh giá NIG O(N)     - Huấn luyện PS-GRPO</w:t>
        <w:br w:type="textWrapping"/>
        <w:t xml:space="preserve">         │                       │                       │</w:t>
        <w:br w:type="textWrapping"/>
        <w:t xml:space="preserve">         └───────────────────────┼───────────────────────┘</w:t>
        <w:br w:type="textWrapping"/>
        <w:t xml:space="preserve">                                 ▼</w:t>
        <w:br w:type="textWrapping"/>
        <w:t xml:space="preserve">                       [Tuần 4: Đánh giá Benchmarks]</w:t>
        <w:br w:type="textWrapping"/>
        <w:t xml:space="preserve">                       - Chạy trên GAIA, LiveCodeBench, GSM8K</w:t>
        <w:br w:type="textWrapping"/>
        <w:t xml:space="preserve">                       - Đo lường token giảm thiểu (&gt;50%)</w:t>
        <w:br w:type="textWrapping"/>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1: Xây dựng Nền tảng Đồ thị và Môi trường Đại lý</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nghiên cứu có thể khởi đầu bằng việc tích hợp hệ thống đồ thị động hai lớp lên nền tảng </w:t>
      </w:r>
      <w:r w:rsidDel="00000000" w:rsidR="00000000" w:rsidRPr="00000000">
        <w:rPr>
          <w:rFonts w:ascii="Google Sans" w:cs="Google Sans" w:eastAsia="Google Sans" w:hAnsi="Google Sans"/>
          <w:b w:val="1"/>
          <w:bCs w:val="1"/>
          <w:color w:val="1f1f1f"/>
          <w:rtl w:val="0"/>
        </w:rPr>
        <w:t xml:space="preserve">OpenHands</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ToolUniverse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Sử dụng các mô hình ngôn ngữ lớn gọn nhẹ như Llama-3.1-8B-Instruct hoặc Qwen2.5-7B-Instruct làm mô hình lõi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Thiết lập lớp cạnh thực thi </w:t>
      </w:r>
      <w:r w:rsidDel="00000000" w:rsidR="00000000" w:rsidRPr="00000000">
        <w:rPr>
          <w:rFonts w:ascii="Google Sans" w:cs="Google Sans" w:eastAsia="Google Sans" w:hAnsi="Google Sans"/>
          <w:color w:val="1f1f1f"/>
        </w:rPr>
        <w:drawing>
          <wp:inline distB="19050" distT="19050" distL="19050" distR="19050">
            <wp:extent cx="278725" cy="247756"/>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78725" cy="247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cách ghi lại nhật ký gọi API trực tiếp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Thiết lập lớp cạnh phụ thuộc </w:t>
      </w:r>
      <w:r w:rsidDel="00000000" w:rsidR="00000000" w:rsidRPr="00000000">
        <w:rPr>
          <w:rFonts w:ascii="Google Sans" w:cs="Google Sans" w:eastAsia="Google Sans" w:hAnsi="Google Sans"/>
          <w:color w:val="1f1f1f"/>
        </w:rPr>
        <w:drawing>
          <wp:inline distB="19050" distT="19050" distL="19050" distR="19050">
            <wp:extent cx="271820" cy="24161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820" cy="241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việc theo dõi luồng đọc/ghi tài liệu, biến số hoặc tệp tin trong môi trường sandbox của đại lý</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2: Cài đặt Bộ Tối ưu hóa Vi phân và Cảm biến Quán tính</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Sử dụng thư viện PyTorch để can thiệp vào lớp logits đầu ra của mô hình ngôn ngữ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Triển khai thuật toán DTO cập nhật logits bằng cách lấy độ lệch gradient từ mô hình phản hồi tiến trình nhỏ Athena-PRM (phiên bản 7B)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Thu thập khoảng 5,000 vết chạy lịch sử của đại lý để xây dựng ma trận chuyển đổi trạng thái công cụ cho bộ cảm biến quán tính (AutoTool)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Điều này cho phép bỏ qua bước lập kế hoạch của LLM đối với các thao tác quen thuộc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Áp dụng thuật toán Monte Carlo Net Information Gain để gán nhãn tự động độ chính xác của từng bước hành động trung gian với độ phức tạp </w:t>
      </w:r>
      <w:r w:rsidDel="00000000" w:rsidR="00000000" w:rsidRPr="00000000">
        <w:rPr>
          <w:rFonts w:ascii="Google Sans" w:cs="Google Sans" w:eastAsia="Google Sans" w:hAnsi="Google Sans"/>
          <w:color w:val="1f1f1f"/>
        </w:rPr>
        <w:drawing>
          <wp:inline distB="19050" distT="19050" distL="19050" distR="19050">
            <wp:extent cx="492681" cy="24255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92681" cy="2425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3: Tích hợp Cơ chế Hiệu chuẩn Margin và Huấn luyện Chính sách</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Thiết kế một đầu dò độ tin cậy (Confidence Probe) siêu nhẹ bằng một mạng MLP hai lớp, nhận đầu vào là các trạng thái ẩn (hidden states) của mô hình lõi để dự đoán độ chính xác của kết quả trung gian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Triển khai thuật toán hậu huấn luyện PS-GRPO thích ứng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Tận dụng tập dữ liệu có sẵn như DualMath-1.1M hoặc MMathCoT-1M làm tập mẫu khởi đầu</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kết hợp với kỹ thuật chèn lỗi của động cơ MIE để huấn luyện khả năng tự phát hiện và sửa lỗi của đại lý</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4: Đo lường và Đánh giá Hiệu năng trên các Benchmarks chuẩn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Tiến hành đánh giá hệ thống trên ba nhóm tác vụ đại lý điển hình:</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Lập luận Toán học và Logic:</w:t>
      </w:r>
      <w:r w:rsidDel="00000000" w:rsidR="00000000" w:rsidRPr="00000000">
        <w:rPr>
          <w:rFonts w:ascii="Google Sans" w:cs="Google Sans" w:eastAsia="Google Sans" w:hAnsi="Google Sans"/>
          <w:color w:val="1f1f1f"/>
          <w:rtl w:val="0"/>
        </w:rPr>
        <w:t xml:space="preserve"> Đánh giá trên tập dữ liệu MATH hoặc GSM8K để kiểm tra hiệu năng dưới các mức ngân sách suy luận khác nhau (từ 1 đến 16 mẫu)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Lập trình và Sử dụng Công cụ:</w:t>
      </w:r>
      <w:r w:rsidDel="00000000" w:rsidR="00000000" w:rsidRPr="00000000">
        <w:rPr>
          <w:rFonts w:ascii="Google Sans" w:cs="Google Sans" w:eastAsia="Google Sans" w:hAnsi="Google Sans"/>
          <w:color w:val="1f1f1f"/>
          <w:rtl w:val="0"/>
        </w:rPr>
        <w:t xml:space="preserve"> Đánh giá trên LiveCodeBench và ToolBench để đo lường tính hiệu quả của cơ chế ReTool và khả năng tối ưu hóa đồ thị động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Môi trường Đa phương thức:</w:t>
      </w:r>
      <w:r w:rsidDel="00000000" w:rsidR="00000000" w:rsidRPr="00000000">
        <w:rPr>
          <w:rFonts w:ascii="Google Sans" w:cs="Google Sans" w:eastAsia="Google Sans" w:hAnsi="Google Sans"/>
          <w:color w:val="1f1f1f"/>
          <w:rtl w:val="0"/>
        </w:rPr>
        <w:t xml:space="preserve"> Thử nghiệm trên VisualProcessBench để đo lường năng lực phát hiện và sửa lỗi trực quan của TIM-PRM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Tiềm năng Nghiên cứu Đỉnh cao và Định hướng Công bố tại AAAI 2027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Ý tưởng nghiên cứu ACDAN sở hữu đầy đủ các yếu tố cấu thành nên một công trình xuất sắc, có khả năng cạnh tranh giải thưởng Bài báo xuất sắc nhất (Best Paper Award) tại các hội nghị AI hàng đầu như AAAI 2027 nhờ những đóng góp vượt bậc về cả mặt lý thuyết lẫn hệ thống thực nghiệm.</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Đóng góp Khoa học Đột phá nâng tầm Hồ sơ PhD</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Giải quyết bài toán nền tảng của hệ thống tự trị thời gian kiểm thử:</w:t>
      </w:r>
      <w:r w:rsidDel="00000000" w:rsidR="00000000" w:rsidRPr="00000000">
        <w:rPr>
          <w:rFonts w:ascii="Google Sans" w:cs="Google Sans" w:eastAsia="Google Sans" w:hAnsi="Google Sans"/>
          <w:color w:val="1f1f1f"/>
          <w:rtl w:val="0"/>
        </w:rPr>
        <w:t xml:space="preserve"> Đề xuất này trực tiếp trả lời câu hỏi làm thế nào để mở rộng quy mô tính toán của đại lý một cách hiệu quả và tối ưu nhất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kết hợp giữa tối ưu hóa không gian ẩn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và tối ưu hóa đạo hàm bậc một trên không gian logits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thế hoàn toàn cho các phương pháp tìm kiếm rời rạc kém hiệu quả, tạo ra một bước chuyển dịch tư duy quan trọng trong thiết kế hệ thống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Nền tảng toán học vững chắc dựa trên Lý thuyết Thông tin và Cơ học Koopman:</w:t>
      </w:r>
      <w:r w:rsidDel="00000000" w:rsidR="00000000" w:rsidRPr="00000000">
        <w:rPr>
          <w:rFonts w:ascii="Google Sans" w:cs="Google Sans" w:eastAsia="Google Sans" w:hAnsi="Google Sans"/>
          <w:color w:val="1f1f1f"/>
          <w:rtl w:val="0"/>
        </w:rPr>
        <w:t xml:space="preserve"> Việc áp dụng entropy von Neumann để kiểm soát sự sụp đổ trạng thái ẩn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kết hợp với thuật toán tính toán Lượng thông tin thuần NIG độ phức tạp tuyến tính</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mang lại một cơ sở lý thuyết toán học vô cùng chặt chẽ và trang nhã cho bài báo. Điều này cực kỳ hấp dẫn đối với các Giáo sư và hội đồng tuyển sinh PhD tại các trường đại học Frontier.</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Lời giải triệt để cho hiện tượng Overthinking:</w:t>
      </w:r>
      <w:r w:rsidDel="00000000" w:rsidR="00000000" w:rsidRPr="00000000">
        <w:rPr>
          <w:rFonts w:ascii="Google Sans" w:cs="Google Sans" w:eastAsia="Google Sans" w:hAnsi="Google Sans"/>
          <w:color w:val="1f1f1f"/>
          <w:rtl w:val="0"/>
        </w:rPr>
        <w:t xml:space="preserve"> Bằng việc mô hình hóa luồng hành động dưới dạng đồ thị phụ thuộc dữ liệu thực tế và loại bỏ các nút dư thừa (dead-steps)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kết hợp với thuật toán DECS tách biệt phần thưởng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nghiên cứu này mang lại một giải pháp thực tế giúp cắt giảm hơn 50% số lượng tokens suy luận mà không hề làm suy giảm độ chính xác của đại lý</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Định vị Bài báo hướng tới Best Paper Award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bài báo đạt được hiệu ứng học thuật cao nhất khi gửi phản biện tại AAAI 2027, phần trình bày kết quả cần tập trung chứng minh ba luận điểm then chốt:</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Quy luật tỷ lệ suy luận tối ưu (Inference Scaling Laws):</w:t>
      </w:r>
      <w:r w:rsidDel="00000000" w:rsidR="00000000" w:rsidRPr="00000000">
        <w:rPr>
          <w:rFonts w:ascii="Google Sans" w:cs="Google Sans" w:eastAsia="Google Sans" w:hAnsi="Google Sans"/>
          <w:color w:val="1f1f1f"/>
          <w:rtl w:val="0"/>
        </w:rPr>
        <w:t xml:space="preserve"> Đưa ra các biểu đồ chứng minh ACDAN tuân thủ quy luật cải thiện hiệu năng tuyến tính hoặc siêu tuyến tính theo lượng tính toán phân bổ thời gian kiểm thử, vượt qua giới hạn bão hòa thường thấy của các phương pháp CoT truyền thống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Khả năng tổng quát hóa vượt trội ngoài phân phối (OOD Generalization):</w:t>
      </w:r>
      <w:r w:rsidDel="00000000" w:rsidR="00000000" w:rsidRPr="00000000">
        <w:rPr>
          <w:rFonts w:ascii="Google Sans" w:cs="Google Sans" w:eastAsia="Google Sans" w:hAnsi="Google Sans"/>
          <w:color w:val="1f1f1f"/>
          <w:rtl w:val="0"/>
        </w:rPr>
        <w:t xml:space="preserve"> Chứng minh rằng mặc dù đại lý chỉ được tinh chỉnh hoặc huấn luyện trên các tác vụ toán học hoặc lập trình cơ bản, các thuộc tính hiệu chuẩn lòng tin (RLCM)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và khả năng kiểm chứng chủ động (TIM-PRM)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giúp đại lý duy trì độ chính xác cực cao khi đối mặt với các tác vụ hoàn toàn mới trong thực tế làm việc vạn năng.</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Tính hiệu quả tài nguyên vượt bậc:</w:t>
      </w:r>
      <w:r w:rsidDel="00000000" w:rsidR="00000000" w:rsidRPr="00000000">
        <w:rPr>
          <w:rFonts w:ascii="Google Sans" w:cs="Google Sans" w:eastAsia="Google Sans" w:hAnsi="Google Sans"/>
          <w:color w:val="1f1f1f"/>
          <w:rtl w:val="0"/>
        </w:rPr>
        <w:t xml:space="preserve"> Minh chứng bằng các số liệu định lượng cụ thể chỉ ra rằng ACDAN giúp các mô hình ngôn ngữ nhỏ (như phiên bản 8B) đạt được hoặc vượt qua hiệu năng của các mô hình có kích thước lớn hơn gấp 14 lần khi được tối ưu hóa cấu hình tính toán thời gian kiểm thử một cách hợp lý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kết hợp hoàn hảo giữa tính thực tiễn trong triển khai hệ thống đại lý làm việc vạn năng và chiều sâu học thuật của các mô hình toán học tối ưu hóa vi phân chính là chìa khóa để bài nghiên cứu này trở thành một điểm nhấn ấn tượng trong hồ sơ ứng tuyển học vị Tiến sĩ tại các viện công nghệ hàng đầu thế giới.</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Reasoning via Test-Time Gradient Descent in Latent Space - arXiv, </w:t>
      </w:r>
      <w:hyperlink r:id="rId41">
        <w:r w:rsidDel="00000000" w:rsidR="00000000" w:rsidRPr="00000000">
          <w:rPr>
            <w:rFonts w:ascii="Google Sans" w:cs="Google Sans" w:eastAsia="Google Sans" w:hAnsi="Google Sans"/>
            <w:color w:val="0000ee"/>
            <w:sz w:val="24"/>
            <w:szCs w:val="24"/>
            <w:u w:val="single"/>
            <w:rtl w:val="0"/>
          </w:rPr>
          <w:t xml:space="preserve">https://arxiv.org/pdf/2603.04948</w:t>
        </w:r>
      </w:hyperlink>
      <w:r w:rsidDel="00000000" w:rsidR="00000000" w:rsidRPr="00000000">
        <w:rPr>
          <w:rtl w:val="0"/>
        </w:rPr>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Oral Session 1A - ICLR 2026, </w:t>
      </w:r>
      <w:hyperlink r:id="rId42">
        <w:r w:rsidDel="00000000" w:rsidR="00000000" w:rsidRPr="00000000">
          <w:rPr>
            <w:rFonts w:ascii="Google Sans" w:cs="Google Sans" w:eastAsia="Google Sans" w:hAnsi="Google Sans"/>
            <w:color w:val="0000ee"/>
            <w:sz w:val="24"/>
            <w:szCs w:val="24"/>
            <w:u w:val="single"/>
            <w:rtl w:val="0"/>
          </w:rPr>
          <w:t xml:space="preserve">https://iclr.cc/virtual/2025/session/31935</w:t>
        </w:r>
      </w:hyperlink>
      <w:r w:rsidDel="00000000" w:rsidR="00000000" w:rsidRPr="00000000">
        <w:rPr>
          <w:rtl w:val="0"/>
        </w:rPr>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Unified Multimodal Chain-of-Thought Test-time Scaling - arXiv, </w:t>
      </w:r>
      <w:hyperlink r:id="rId43">
        <w:r w:rsidDel="00000000" w:rsidR="00000000" w:rsidRPr="00000000">
          <w:rPr>
            <w:rFonts w:ascii="Google Sans" w:cs="Google Sans" w:eastAsia="Google Sans" w:hAnsi="Google Sans"/>
            <w:color w:val="0000ee"/>
            <w:sz w:val="24"/>
            <w:szCs w:val="24"/>
            <w:u w:val="single"/>
            <w:rtl w:val="0"/>
          </w:rPr>
          <w:t xml:space="preserve">https://arxiv.org/html/2602.12279v1</w:t>
        </w:r>
      </w:hyperlink>
      <w:r w:rsidDel="00000000" w:rsidR="00000000" w:rsidRPr="00000000">
        <w:rPr>
          <w:rtl w:val="0"/>
        </w:rPr>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Test-Time Scaling Makes Overtraining Compute-Optimal - arXiv, </w:t>
      </w:r>
      <w:hyperlink r:id="rId44">
        <w:r w:rsidDel="00000000" w:rsidR="00000000" w:rsidRPr="00000000">
          <w:rPr>
            <w:rFonts w:ascii="Google Sans" w:cs="Google Sans" w:eastAsia="Google Sans" w:hAnsi="Google Sans"/>
            <w:color w:val="0000ee"/>
            <w:sz w:val="24"/>
            <w:szCs w:val="24"/>
            <w:u w:val="single"/>
            <w:rtl w:val="0"/>
          </w:rPr>
          <w:t xml:space="preserve">https://arxiv.org/html/2604.01411v1</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Internet of Agentic AI: Communication, Coordination, and Collective Intelligence at Scale - arXiv, </w:t>
      </w:r>
      <w:hyperlink r:id="rId45">
        <w:r w:rsidDel="00000000" w:rsidR="00000000" w:rsidRPr="00000000">
          <w:rPr>
            <w:rFonts w:ascii="Google Sans" w:cs="Google Sans" w:eastAsia="Google Sans" w:hAnsi="Google Sans"/>
            <w:color w:val="0000ee"/>
            <w:sz w:val="24"/>
            <w:szCs w:val="24"/>
            <w:u w:val="single"/>
            <w:rtl w:val="0"/>
          </w:rPr>
          <w:t xml:space="preserve">https://arxiv.org/html/2606.12835v1</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Adaptation of Agentic AI: A Survey of Post-Training, Memory, and Skills - arXiv, </w:t>
      </w:r>
      <w:hyperlink r:id="rId46">
        <w:r w:rsidDel="00000000" w:rsidR="00000000" w:rsidRPr="00000000">
          <w:rPr>
            <w:rFonts w:ascii="Google Sans" w:cs="Google Sans" w:eastAsia="Google Sans" w:hAnsi="Google Sans"/>
            <w:color w:val="0000ee"/>
            <w:sz w:val="24"/>
            <w:szCs w:val="24"/>
            <w:u w:val="single"/>
            <w:rtl w:val="0"/>
          </w:rPr>
          <w:t xml:space="preserve">https://arxiv.org/html/2512.16301v3</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WHEN TO PLAN: EFFICIENTLY ALLOCATING TEST-TIME COMPUTE FOR LLM AGENTS - OpenReview, </w:t>
      </w:r>
      <w:hyperlink r:id="rId47">
        <w:r w:rsidDel="00000000" w:rsidR="00000000" w:rsidRPr="00000000">
          <w:rPr>
            <w:rFonts w:ascii="Google Sans" w:cs="Google Sans" w:eastAsia="Google Sans" w:hAnsi="Google Sans"/>
            <w:color w:val="0000ee"/>
            <w:sz w:val="24"/>
            <w:szCs w:val="24"/>
            <w:u w:val="single"/>
            <w:rtl w:val="0"/>
          </w:rPr>
          <w:t xml:space="preserve">https://openreview.net/pdf?id=mBxFCTlFmW</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RPM-MCTS: Knowledge-Retrieval as Process Reward Model with Monte Carlo Tree Search for Code Generation - AAAI Publications, </w:t>
      </w:r>
      <w:hyperlink r:id="rId48">
        <w:r w:rsidDel="00000000" w:rsidR="00000000" w:rsidRPr="00000000">
          <w:rPr>
            <w:rFonts w:ascii="Google Sans" w:cs="Google Sans" w:eastAsia="Google Sans" w:hAnsi="Google Sans"/>
            <w:color w:val="0000ee"/>
            <w:sz w:val="24"/>
            <w:szCs w:val="24"/>
            <w:u w:val="single"/>
            <w:rtl w:val="0"/>
          </w:rPr>
          <w:t xml:space="preserve">https://ojs.aaai.org/index.php/AAAI/article/view/40475/44436</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More Thinking Hurts: Overthinking in LLM Test-Time Compute Scaling - arXiv, </w:t>
      </w:r>
      <w:hyperlink r:id="rId49">
        <w:r w:rsidDel="00000000" w:rsidR="00000000" w:rsidRPr="00000000">
          <w:rPr>
            <w:rFonts w:ascii="Google Sans" w:cs="Google Sans" w:eastAsia="Google Sans" w:hAnsi="Google Sans"/>
            <w:color w:val="0000ee"/>
            <w:sz w:val="24"/>
            <w:szCs w:val="24"/>
            <w:u w:val="single"/>
            <w:rtl w:val="0"/>
          </w:rPr>
          <w:t xml:space="preserve">https://arxiv.org/html/2604.10739v1</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Rethinking Fine-Tuning when Scaling Test-Time Compute: Limiting Confidence Improves Mathematical Reasoning, </w:t>
      </w:r>
      <w:hyperlink r:id="rId50">
        <w:r w:rsidDel="00000000" w:rsidR="00000000" w:rsidRPr="00000000">
          <w:rPr>
            <w:rFonts w:ascii="Google Sans" w:cs="Google Sans" w:eastAsia="Google Sans" w:hAnsi="Google Sans"/>
            <w:color w:val="0000ee"/>
            <w:sz w:val="24"/>
            <w:szCs w:val="24"/>
            <w:u w:val="single"/>
            <w:rtl w:val="0"/>
          </w:rPr>
          <w:t xml:space="preserve">https://neurips.cc/virtual/2025/poster/116423</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Supervision of Confidence Margin for Calibrated LLM Reasoning - arXiv, </w:t>
      </w:r>
      <w:hyperlink r:id="rId51">
        <w:r w:rsidDel="00000000" w:rsidR="00000000" w:rsidRPr="00000000">
          <w:rPr>
            <w:rFonts w:ascii="Google Sans" w:cs="Google Sans" w:eastAsia="Google Sans" w:hAnsi="Google Sans"/>
            <w:color w:val="0000ee"/>
            <w:sz w:val="24"/>
            <w:szCs w:val="24"/>
            <w:u w:val="single"/>
            <w:rtl w:val="0"/>
          </w:rPr>
          <w:t xml:space="preserve">https://arxiv.org/html/2604.23333v1</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[2511.22998] TIM-PRM: Verifying multimodal reasoning with Tool-Integrated PRM - arXiv, </w:t>
      </w:r>
      <w:hyperlink r:id="rId52">
        <w:r w:rsidDel="00000000" w:rsidR="00000000" w:rsidRPr="00000000">
          <w:rPr>
            <w:rFonts w:ascii="Google Sans" w:cs="Google Sans" w:eastAsia="Google Sans" w:hAnsi="Google Sans"/>
            <w:color w:val="0000ee"/>
            <w:sz w:val="24"/>
            <w:szCs w:val="24"/>
            <w:u w:val="single"/>
            <w:rtl w:val="0"/>
          </w:rPr>
          <w:t xml:space="preserve">https://arxiv.org/abs/2511.22998</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up Test-Time Compute with Latent Reasoning: A Recurrent Depth Approach, </w:t>
      </w:r>
      <w:hyperlink r:id="rId53">
        <w:r w:rsidDel="00000000" w:rsidR="00000000" w:rsidRPr="00000000">
          <w:rPr>
            <w:rFonts w:ascii="Google Sans" w:cs="Google Sans" w:eastAsia="Google Sans" w:hAnsi="Google Sans"/>
            <w:color w:val="0000ee"/>
            <w:sz w:val="24"/>
            <w:szCs w:val="24"/>
            <w:u w:val="single"/>
            <w:rtl w:val="0"/>
          </w:rPr>
          <w:t xml:space="preserve">https://neurips.cc/virtual/2025/poster/117966</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ICLR 2026 Workshops, </w:t>
      </w:r>
      <w:hyperlink r:id="rId54">
        <w:r w:rsidDel="00000000" w:rsidR="00000000" w:rsidRPr="00000000">
          <w:rPr>
            <w:rFonts w:ascii="Google Sans" w:cs="Google Sans" w:eastAsia="Google Sans" w:hAnsi="Google Sans"/>
            <w:color w:val="0000ee"/>
            <w:sz w:val="24"/>
            <w:szCs w:val="24"/>
            <w:u w:val="single"/>
            <w:rtl w:val="0"/>
          </w:rPr>
          <w:t xml:space="preserve">https://iclr.cc/virtual/2026/events/workshop</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Digest: ICLR 2026 Papers &amp; Highlights, </w:t>
      </w:r>
      <w:hyperlink r:id="rId55">
        <w:r w:rsidDel="00000000" w:rsidR="00000000" w:rsidRPr="00000000">
          <w:rPr>
            <w:rFonts w:ascii="Google Sans" w:cs="Google Sans" w:eastAsia="Google Sans" w:hAnsi="Google Sans"/>
            <w:color w:val="0000ee"/>
            <w:sz w:val="24"/>
            <w:szCs w:val="24"/>
            <w:u w:val="single"/>
            <w:rtl w:val="0"/>
          </w:rPr>
          <w:t xml:space="preserve">https://www.paperdigest.org/2026/02/iclr-2026-papers-highlights/</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Athena: Enhancing Multimodal Reasoning with Data-efficient Process Reward Models, </w:t>
      </w:r>
      <w:hyperlink r:id="rId56">
        <w:r w:rsidDel="00000000" w:rsidR="00000000" w:rsidRPr="00000000">
          <w:rPr>
            <w:rFonts w:ascii="Google Sans" w:cs="Google Sans" w:eastAsia="Google Sans" w:hAnsi="Google Sans"/>
            <w:color w:val="0000ee"/>
            <w:sz w:val="24"/>
            <w:szCs w:val="24"/>
            <w:u w:val="single"/>
            <w:rtl w:val="0"/>
          </w:rPr>
          <w:t xml:space="preserve">https://arxiv.org/html/2506.09532v4</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Grade: Graph Representation of LLM Agent Dependency and Execution - arXiv, </w:t>
      </w:r>
      <w:hyperlink r:id="rId57">
        <w:r w:rsidDel="00000000" w:rsidR="00000000" w:rsidRPr="00000000">
          <w:rPr>
            <w:rFonts w:ascii="Google Sans" w:cs="Google Sans" w:eastAsia="Google Sans" w:hAnsi="Google Sans"/>
            <w:color w:val="0000ee"/>
            <w:sz w:val="24"/>
            <w:szCs w:val="24"/>
            <w:u w:val="single"/>
            <w:rtl w:val="0"/>
          </w:rPr>
          <w:t xml:space="preserve">https://arxiv.org/html/2606.22741v1</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Static Templates to Dynamic Runtime Graphs: A Survey of Workflow Optimization for LLM Agents - arXiv, </w:t>
      </w:r>
      <w:hyperlink r:id="rId58">
        <w:r w:rsidDel="00000000" w:rsidR="00000000" w:rsidRPr="00000000">
          <w:rPr>
            <w:rFonts w:ascii="Google Sans" w:cs="Google Sans" w:eastAsia="Google Sans" w:hAnsi="Google Sans"/>
            <w:color w:val="0000ee"/>
            <w:sz w:val="24"/>
            <w:szCs w:val="24"/>
            <w:u w:val="single"/>
            <w:rtl w:val="0"/>
          </w:rPr>
          <w:t xml:space="preserve">https://arxiv.org/pdf/2603.22386</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AutoTool: Efficient Tool Selection for Large Language Model Agents - AAAI Publications, </w:t>
      </w:r>
      <w:hyperlink r:id="rId59">
        <w:r w:rsidDel="00000000" w:rsidR="00000000" w:rsidRPr="00000000">
          <w:rPr>
            <w:rFonts w:ascii="Google Sans" w:cs="Google Sans" w:eastAsia="Google Sans" w:hAnsi="Google Sans"/>
            <w:color w:val="0000ee"/>
            <w:sz w:val="24"/>
            <w:szCs w:val="24"/>
            <w:u w:val="single"/>
            <w:rtl w:val="0"/>
          </w:rPr>
          <w:t xml:space="preserve">https://ojs.aaai.org/index.php/AAAI/article/view/40389/44350</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Test-Time Compute Allocation for Reasoning LLMs via Constrained Policy Optimization - arXiv, </w:t>
      </w:r>
      <w:hyperlink r:id="rId60">
        <w:r w:rsidDel="00000000" w:rsidR="00000000" w:rsidRPr="00000000">
          <w:rPr>
            <w:rFonts w:ascii="Google Sans" w:cs="Google Sans" w:eastAsia="Google Sans" w:hAnsi="Google Sans"/>
            <w:color w:val="0000ee"/>
            <w:sz w:val="24"/>
            <w:szCs w:val="24"/>
            <w:u w:val="single"/>
            <w:rtl w:val="0"/>
          </w:rPr>
          <w:t xml:space="preserve">https://arxiv.org/html/2604.14853v1</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Orals - ICLR 2026, </w:t>
      </w:r>
      <w:hyperlink r:id="rId61">
        <w:r w:rsidDel="00000000" w:rsidR="00000000" w:rsidRPr="00000000">
          <w:rPr>
            <w:rFonts w:ascii="Google Sans" w:cs="Google Sans" w:eastAsia="Google Sans" w:hAnsi="Google Sans"/>
            <w:color w:val="0000ee"/>
            <w:sz w:val="24"/>
            <w:szCs w:val="24"/>
            <w:u w:val="single"/>
            <w:rtl w:val="0"/>
          </w:rPr>
          <w:t xml:space="preserve">https://iclr.cc/virtual/2026/events/oral</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[2603.17815] Process Supervision for Chain-of-Thought Reasoning via Monte Carlo Net Information Gain - arXiv, </w:t>
      </w:r>
      <w:hyperlink r:id="rId62">
        <w:r w:rsidDel="00000000" w:rsidR="00000000" w:rsidRPr="00000000">
          <w:rPr>
            <w:rFonts w:ascii="Google Sans" w:cs="Google Sans" w:eastAsia="Google Sans" w:hAnsi="Google Sans"/>
            <w:color w:val="0000ee"/>
            <w:sz w:val="24"/>
            <w:szCs w:val="24"/>
            <w:u w:val="single"/>
            <w:rtl w:val="0"/>
          </w:rPr>
          <w:t xml:space="preserve">https://arxiv.org/abs/2603.17815</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Multimodal Mathematical Reasoning via Process Reward Model - OpenReview, </w:t>
      </w:r>
      <w:hyperlink r:id="rId63">
        <w:r w:rsidDel="00000000" w:rsidR="00000000" w:rsidRPr="00000000">
          <w:rPr>
            <w:rFonts w:ascii="Google Sans" w:cs="Google Sans" w:eastAsia="Google Sans" w:hAnsi="Google Sans"/>
            <w:color w:val="0000ee"/>
            <w:sz w:val="24"/>
            <w:szCs w:val="24"/>
            <w:u w:val="single"/>
            <w:rtl w:val="0"/>
          </w:rPr>
          <w:t xml:space="preserve">https://openreview.net/forum?id=96I8PGPALv&amp;referrer=%5Bthe%20profile%20of%20Chufan%20Shi%5D(%2Fprofile%3Fid%3D~Chufan_Shi1)</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I-MCTS: Enhancing Agentic AutoML via Introspective Monte Carlo Tree Search - ACL Anthology, </w:t>
      </w:r>
      <w:hyperlink r:id="rId64">
        <w:r w:rsidDel="00000000" w:rsidR="00000000" w:rsidRPr="00000000">
          <w:rPr>
            <w:rFonts w:ascii="Google Sans" w:cs="Google Sans" w:eastAsia="Google Sans" w:hAnsi="Google Sans"/>
            <w:color w:val="0000ee"/>
            <w:sz w:val="24"/>
            <w:szCs w:val="24"/>
            <w:u w:val="single"/>
            <w:rtl w:val="0"/>
          </w:rPr>
          <w:t xml:space="preserve">https://aclanthology.org/2026.findings-eacl.11.pdf</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Static Templates to Dynamic Runtime Graphs: A Survey of Workflow Optimization for LLM Agents - arXiv, </w:t>
      </w:r>
      <w:hyperlink r:id="rId65">
        <w:r w:rsidDel="00000000" w:rsidR="00000000" w:rsidRPr="00000000">
          <w:rPr>
            <w:rFonts w:ascii="Google Sans" w:cs="Google Sans" w:eastAsia="Google Sans" w:hAnsi="Google Sans"/>
            <w:color w:val="0000ee"/>
            <w:sz w:val="24"/>
            <w:szCs w:val="24"/>
            <w:u w:val="single"/>
            <w:rtl w:val="0"/>
          </w:rPr>
          <w:t xml:space="preserve">https://arxiv.org/html/2603.22386v1</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Vision-Language Process Reward Models for Test-Time Scaling in Multimodal Reasoning: Key Insights and Lessons Learned - arXiv, </w:t>
      </w:r>
      <w:hyperlink r:id="rId66">
        <w:r w:rsidDel="00000000" w:rsidR="00000000" w:rsidRPr="00000000">
          <w:rPr>
            <w:rFonts w:ascii="Google Sans" w:cs="Google Sans" w:eastAsia="Google Sans" w:hAnsi="Google Sans"/>
            <w:color w:val="0000ee"/>
            <w:sz w:val="24"/>
            <w:szCs w:val="24"/>
            <w:u w:val="single"/>
            <w:rtl w:val="0"/>
          </w:rPr>
          <w:t xml:space="preserve">https://arxiv.org/html/2509.23250v3</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Process Reward Models: From Outcome Signals to Process Supervisions for Large Language Models - arXiv, </w:t>
      </w:r>
      <w:hyperlink r:id="rId67">
        <w:r w:rsidDel="00000000" w:rsidR="00000000" w:rsidRPr="00000000">
          <w:rPr>
            <w:rFonts w:ascii="Google Sans" w:cs="Google Sans" w:eastAsia="Google Sans" w:hAnsi="Google Sans"/>
            <w:color w:val="0000ee"/>
            <w:sz w:val="24"/>
            <w:szCs w:val="24"/>
            <w:u w:val="single"/>
            <w:rtl w:val="0"/>
          </w:rPr>
          <w:t xml:space="preserve">https://arxiv.org/html/2510.08049v3</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Unified Multimodal Chain-of-Thought Test-time Scaling - arXiv, </w:t>
      </w:r>
      <w:hyperlink r:id="rId68">
        <w:r w:rsidDel="00000000" w:rsidR="00000000" w:rsidRPr="00000000">
          <w:rPr>
            <w:rFonts w:ascii="Google Sans" w:cs="Google Sans" w:eastAsia="Google Sans" w:hAnsi="Google Sans"/>
            <w:color w:val="0000ee"/>
            <w:sz w:val="24"/>
            <w:szCs w:val="24"/>
            <w:u w:val="single"/>
            <w:rtl w:val="0"/>
          </w:rPr>
          <w:t xml:space="preserve">https://arxiv.org/html/2602.12279v2</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MedAI: Evaluating TxAgent's Therapeutic Agentic Reasoning in the NeurIPS CURE-Bench Competition - arXiv, </w:t>
      </w:r>
      <w:hyperlink r:id="rId69">
        <w:r w:rsidDel="00000000" w:rsidR="00000000" w:rsidRPr="00000000">
          <w:rPr>
            <w:rFonts w:ascii="Google Sans" w:cs="Google Sans" w:eastAsia="Google Sans" w:hAnsi="Google Sans"/>
            <w:color w:val="0000ee"/>
            <w:sz w:val="24"/>
            <w:szCs w:val="24"/>
            <w:u w:val="single"/>
            <w:rtl w:val="0"/>
          </w:rPr>
          <w:t xml:space="preserve">https://arxiv.org/html/2512.11682v2</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RUCAIBox/awesome-agent-harness: The official GitHub page for the paper "Agent Systems with Harness Engineering", </w:t>
      </w:r>
      <w:hyperlink r:id="rId70">
        <w:r w:rsidDel="00000000" w:rsidR="00000000" w:rsidRPr="00000000">
          <w:rPr>
            <w:rFonts w:ascii="Google Sans" w:cs="Google Sans" w:eastAsia="Google Sans" w:hAnsi="Google Sans"/>
            <w:color w:val="0000ee"/>
            <w:sz w:val="24"/>
            <w:szCs w:val="24"/>
            <w:u w:val="single"/>
            <w:rtl w:val="0"/>
          </w:rPr>
          <w:t xml:space="preserve">https://github.com/RUCAIBox/awesome-agent-harness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hyperlink" Target="https://iclr.cc/virtual/2025/session/31935" TargetMode="External"/><Relationship Id="rId41" Type="http://schemas.openxmlformats.org/officeDocument/2006/relationships/hyperlink" Target="https://arxiv.org/pdf/2603.04948" TargetMode="External"/><Relationship Id="rId44" Type="http://schemas.openxmlformats.org/officeDocument/2006/relationships/hyperlink" Target="https://arxiv.org/html/2604.01411v1" TargetMode="External"/><Relationship Id="rId43" Type="http://schemas.openxmlformats.org/officeDocument/2006/relationships/hyperlink" Target="https://arxiv.org/html/2602.12279v1" TargetMode="External"/><Relationship Id="rId46" Type="http://schemas.openxmlformats.org/officeDocument/2006/relationships/hyperlink" Target="https://arxiv.org/html/2512.16301v3" TargetMode="External"/><Relationship Id="rId45" Type="http://schemas.openxmlformats.org/officeDocument/2006/relationships/hyperlink" Target="https://arxiv.org/html/2606.12835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ojs.aaai.org/index.php/AAAI/article/view/40475/44436" TargetMode="External"/><Relationship Id="rId47" Type="http://schemas.openxmlformats.org/officeDocument/2006/relationships/hyperlink" Target="https://openreview.net/pdf?id=mBxFCTlFmW" TargetMode="External"/><Relationship Id="rId49" Type="http://schemas.openxmlformats.org/officeDocument/2006/relationships/hyperlink" Target="https://arxiv.org/html/2604.10739v1"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10.png"/><Relationship Id="rId8" Type="http://schemas.openxmlformats.org/officeDocument/2006/relationships/image" Target="media/image1.png"/><Relationship Id="rId31" Type="http://schemas.openxmlformats.org/officeDocument/2006/relationships/image" Target="media/image13.png"/><Relationship Id="rId30" Type="http://schemas.openxmlformats.org/officeDocument/2006/relationships/image" Target="media/image18.png"/><Relationship Id="rId33" Type="http://schemas.openxmlformats.org/officeDocument/2006/relationships/image" Target="media/image15.png"/><Relationship Id="rId32" Type="http://schemas.openxmlformats.org/officeDocument/2006/relationships/image" Target="media/image16.png"/><Relationship Id="rId35" Type="http://schemas.openxmlformats.org/officeDocument/2006/relationships/image" Target="media/image2.png"/><Relationship Id="rId34" Type="http://schemas.openxmlformats.org/officeDocument/2006/relationships/image" Target="media/image14.png"/><Relationship Id="rId70" Type="http://schemas.openxmlformats.org/officeDocument/2006/relationships/hyperlink" Target="https://github.com/RUCAIBox/awesome-agent-harness" TargetMode="External"/><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7.png"/><Relationship Id="rId38" Type="http://schemas.openxmlformats.org/officeDocument/2006/relationships/image" Target="media/image6.png"/><Relationship Id="rId62" Type="http://schemas.openxmlformats.org/officeDocument/2006/relationships/hyperlink" Target="https://arxiv.org/abs/2603.17815" TargetMode="External"/><Relationship Id="rId61" Type="http://schemas.openxmlformats.org/officeDocument/2006/relationships/hyperlink" Target="https://iclr.cc/virtual/2026/events/oral" TargetMode="External"/><Relationship Id="rId20" Type="http://schemas.openxmlformats.org/officeDocument/2006/relationships/image" Target="media/image29.png"/><Relationship Id="rId64" Type="http://schemas.openxmlformats.org/officeDocument/2006/relationships/hyperlink" Target="https://aclanthology.org/2026.findings-eacl.11.pdf" TargetMode="External"/><Relationship Id="rId63" Type="http://schemas.openxmlformats.org/officeDocument/2006/relationships/hyperlink" Target="https://openreview.net/forum?id=96I8PGPALv&amp;referrer=%5Bthe+profile+of+Chufan+Shi%5D(/profile?id%3D~Chufan_Shi1)" TargetMode="External"/><Relationship Id="rId22" Type="http://schemas.openxmlformats.org/officeDocument/2006/relationships/image" Target="media/image30.png"/><Relationship Id="rId66" Type="http://schemas.openxmlformats.org/officeDocument/2006/relationships/hyperlink" Target="https://arxiv.org/html/2509.23250v3" TargetMode="External"/><Relationship Id="rId21" Type="http://schemas.openxmlformats.org/officeDocument/2006/relationships/image" Target="media/image35.png"/><Relationship Id="rId65" Type="http://schemas.openxmlformats.org/officeDocument/2006/relationships/hyperlink" Target="https://arxiv.org/html/2603.22386v1" TargetMode="External"/><Relationship Id="rId24" Type="http://schemas.openxmlformats.org/officeDocument/2006/relationships/image" Target="media/image34.png"/><Relationship Id="rId68" Type="http://schemas.openxmlformats.org/officeDocument/2006/relationships/hyperlink" Target="https://arxiv.org/html/2602.12279v2" TargetMode="External"/><Relationship Id="rId23" Type="http://schemas.openxmlformats.org/officeDocument/2006/relationships/image" Target="media/image33.png"/><Relationship Id="rId67" Type="http://schemas.openxmlformats.org/officeDocument/2006/relationships/hyperlink" Target="https://arxiv.org/html/2510.08049v3" TargetMode="External"/><Relationship Id="rId60" Type="http://schemas.openxmlformats.org/officeDocument/2006/relationships/hyperlink" Target="https://arxiv.org/html/2604.14853v1" TargetMode="External"/><Relationship Id="rId26" Type="http://schemas.openxmlformats.org/officeDocument/2006/relationships/image" Target="media/image5.png"/><Relationship Id="rId25" Type="http://schemas.openxmlformats.org/officeDocument/2006/relationships/image" Target="media/image9.png"/><Relationship Id="rId69" Type="http://schemas.openxmlformats.org/officeDocument/2006/relationships/hyperlink" Target="https://arxiv.org/html/2512.11682v2" TargetMode="External"/><Relationship Id="rId28" Type="http://schemas.openxmlformats.org/officeDocument/2006/relationships/image" Target="media/image12.png"/><Relationship Id="rId27" Type="http://schemas.openxmlformats.org/officeDocument/2006/relationships/image" Target="media/image11.png"/><Relationship Id="rId29" Type="http://schemas.openxmlformats.org/officeDocument/2006/relationships/image" Target="media/image8.png"/><Relationship Id="rId51" Type="http://schemas.openxmlformats.org/officeDocument/2006/relationships/hyperlink" Target="https://arxiv.org/html/2604.23333v1" TargetMode="External"/><Relationship Id="rId50" Type="http://schemas.openxmlformats.org/officeDocument/2006/relationships/hyperlink" Target="https://neurips.cc/virtual/2025/poster/116423" TargetMode="External"/><Relationship Id="rId53" Type="http://schemas.openxmlformats.org/officeDocument/2006/relationships/hyperlink" Target="https://neurips.cc/virtual/2025/poster/117966" TargetMode="External"/><Relationship Id="rId52" Type="http://schemas.openxmlformats.org/officeDocument/2006/relationships/hyperlink" Target="https://arxiv.org/abs/2511.22998" TargetMode="External"/><Relationship Id="rId11" Type="http://schemas.openxmlformats.org/officeDocument/2006/relationships/image" Target="media/image31.png"/><Relationship Id="rId55" Type="http://schemas.openxmlformats.org/officeDocument/2006/relationships/hyperlink" Target="https://www.paperdigest.org/2026/02/iclr-2026-papers-highlights/" TargetMode="External"/><Relationship Id="rId10" Type="http://schemas.openxmlformats.org/officeDocument/2006/relationships/image" Target="media/image20.png"/><Relationship Id="rId54" Type="http://schemas.openxmlformats.org/officeDocument/2006/relationships/hyperlink" Target="https://iclr.cc/virtual/2026/events/workshop" TargetMode="External"/><Relationship Id="rId13" Type="http://schemas.openxmlformats.org/officeDocument/2006/relationships/image" Target="media/image24.png"/><Relationship Id="rId57" Type="http://schemas.openxmlformats.org/officeDocument/2006/relationships/hyperlink" Target="https://arxiv.org/html/2606.22741v1" TargetMode="External"/><Relationship Id="rId12" Type="http://schemas.openxmlformats.org/officeDocument/2006/relationships/image" Target="media/image26.png"/><Relationship Id="rId56" Type="http://schemas.openxmlformats.org/officeDocument/2006/relationships/hyperlink" Target="https://arxiv.org/html/2506.09532v4" TargetMode="External"/><Relationship Id="rId15" Type="http://schemas.openxmlformats.org/officeDocument/2006/relationships/image" Target="media/image32.png"/><Relationship Id="rId59" Type="http://schemas.openxmlformats.org/officeDocument/2006/relationships/hyperlink" Target="https://ojs.aaai.org/index.php/AAAI/article/view/40389/44350" TargetMode="External"/><Relationship Id="rId14" Type="http://schemas.openxmlformats.org/officeDocument/2006/relationships/image" Target="media/image22.png"/><Relationship Id="rId58" Type="http://schemas.openxmlformats.org/officeDocument/2006/relationships/hyperlink" Target="https://arxiv.org/pdf/2603.22386" TargetMode="External"/><Relationship Id="rId17" Type="http://schemas.openxmlformats.org/officeDocument/2006/relationships/image" Target="media/image25.png"/><Relationship Id="rId16" Type="http://schemas.openxmlformats.org/officeDocument/2006/relationships/image" Target="media/image23.png"/><Relationship Id="rId19" Type="http://schemas.openxmlformats.org/officeDocument/2006/relationships/image" Target="media/image28.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