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1F17F6" w14:textId="7D914560" w:rsidR="00AF181A" w:rsidRPr="003F0C7E" w:rsidRDefault="00AF181A" w:rsidP="00C71607">
      <w:pPr>
        <w:contextualSpacing/>
        <w:jc w:val="both"/>
        <w:rPr>
          <w:rFonts w:ascii="Arial" w:hAnsi="Arial" w:cs="Arial"/>
          <w:b/>
          <w:lang w:val="es-ES"/>
        </w:rPr>
      </w:pPr>
      <w:r w:rsidRPr="003F0C7E">
        <w:rPr>
          <w:rFonts w:ascii="Arial" w:hAnsi="Arial" w:cs="Arial"/>
          <w:b/>
          <w:lang w:val="es-ES"/>
        </w:rPr>
        <w:t xml:space="preserve">Balanza de Pagos, </w:t>
      </w:r>
    </w:p>
    <w:p w14:paraId="09C07397" w14:textId="77777777" w:rsidR="00AF181A" w:rsidRPr="003F0C7E" w:rsidRDefault="00AF181A" w:rsidP="00B33D70">
      <w:pPr>
        <w:spacing w:line="276" w:lineRule="auto"/>
        <w:rPr>
          <w:rFonts w:ascii="Arial" w:hAnsi="Arial" w:cs="Arial"/>
          <w:bCs/>
          <w:lang w:val="es-ES"/>
        </w:rPr>
      </w:pPr>
    </w:p>
    <w:p w14:paraId="760568A6" w14:textId="55F74289" w:rsidR="00923BDC" w:rsidRPr="003F0C7E" w:rsidRDefault="00923BDC" w:rsidP="00B33D70">
      <w:pPr>
        <w:spacing w:line="276" w:lineRule="auto"/>
        <w:rPr>
          <w:rFonts w:ascii="Arial" w:hAnsi="Arial" w:cs="Arial"/>
          <w:bCs/>
          <w:lang w:val="es-ES"/>
        </w:rPr>
      </w:pPr>
      <w:r w:rsidRPr="003F0C7E">
        <w:rPr>
          <w:rFonts w:ascii="Arial" w:hAnsi="Arial" w:cs="Arial"/>
          <w:bCs/>
          <w:lang w:val="es-ES"/>
        </w:rPr>
        <w:t>Miguel Espinal Valencia</w:t>
      </w:r>
    </w:p>
    <w:p w14:paraId="488C8C42" w14:textId="77777777" w:rsidR="00923BDC" w:rsidRPr="003F0C7E" w:rsidRDefault="00923BDC" w:rsidP="00B33D70">
      <w:pPr>
        <w:spacing w:line="276" w:lineRule="auto"/>
        <w:rPr>
          <w:rFonts w:ascii="Arial" w:hAnsi="Arial" w:cs="Arial"/>
          <w:bCs/>
          <w:lang w:val="es-ES"/>
        </w:rPr>
      </w:pPr>
      <w:r w:rsidRPr="003F0C7E">
        <w:rPr>
          <w:rFonts w:ascii="Arial" w:hAnsi="Arial" w:cs="Arial"/>
          <w:bCs/>
          <w:lang w:val="es-ES"/>
        </w:rPr>
        <w:t>Jerónimo Salazar Aguirre</w:t>
      </w:r>
    </w:p>
    <w:p w14:paraId="379D9748" w14:textId="02B24AA3" w:rsidR="00B474C1" w:rsidRDefault="00B474C1" w:rsidP="00B33D70">
      <w:pPr>
        <w:spacing w:line="276" w:lineRule="auto"/>
        <w:rPr>
          <w:rFonts w:ascii="Arial" w:hAnsi="Arial" w:cs="Arial"/>
          <w:bCs/>
          <w:lang w:val="es-ES"/>
        </w:rPr>
      </w:pPr>
      <w:r w:rsidRPr="0096081C">
        <w:rPr>
          <w:rFonts w:ascii="Arial" w:hAnsi="Arial" w:cs="Arial"/>
          <w:bCs/>
          <w:lang w:val="es-ES"/>
        </w:rPr>
        <w:t>Santiago Tupaz</w:t>
      </w:r>
      <w:r w:rsidR="0096081C" w:rsidRPr="0096081C">
        <w:rPr>
          <w:rFonts w:ascii="Arial" w:hAnsi="Arial" w:cs="Arial"/>
          <w:bCs/>
          <w:lang w:val="es-ES"/>
        </w:rPr>
        <w:t xml:space="preserve"> Ramírez</w:t>
      </w:r>
    </w:p>
    <w:p w14:paraId="031841C2" w14:textId="71A393E0" w:rsidR="00CE455A" w:rsidRPr="0096081C" w:rsidRDefault="00CE455A" w:rsidP="00B33D70">
      <w:pPr>
        <w:spacing w:line="276" w:lineRule="auto"/>
        <w:rPr>
          <w:rFonts w:ascii="Arial" w:hAnsi="Arial" w:cs="Arial"/>
          <w:bCs/>
          <w:lang w:val="es-ES"/>
        </w:rPr>
      </w:pPr>
      <w:r>
        <w:rPr>
          <w:rFonts w:ascii="Arial" w:hAnsi="Arial" w:cs="Arial"/>
          <w:bCs/>
          <w:lang w:val="es-ES"/>
        </w:rPr>
        <w:t>Mariana Díaz Silva</w:t>
      </w:r>
    </w:p>
    <w:p w14:paraId="49FC1C64" w14:textId="51CA8260" w:rsidR="003F0C7E" w:rsidRDefault="00775ECE" w:rsidP="003F0C7E">
      <w:pPr>
        <w:pStyle w:val="NormalWeb"/>
        <w:spacing w:before="240" w:beforeAutospacing="0" w:after="240" w:afterAutospacing="0" w:line="276" w:lineRule="auto"/>
        <w:rPr>
          <w:rFonts w:ascii="Arial" w:hAnsi="Arial" w:cs="Arial"/>
          <w:b/>
          <w:bCs/>
          <w:color w:val="000000"/>
          <w:lang w:val="es-ES"/>
        </w:rPr>
      </w:pPr>
      <w:r w:rsidRPr="00775ECE">
        <w:rPr>
          <w:rFonts w:ascii="Arial" w:hAnsi="Arial" w:cs="Arial"/>
          <w:b/>
          <w:bCs/>
          <w:color w:val="000000"/>
          <w:lang w:val="es-ES"/>
        </w:rPr>
        <w:t>Cuenta Corriente</w:t>
      </w:r>
    </w:p>
    <w:p w14:paraId="659989A0" w14:textId="0FCDF33C" w:rsidR="00CE455A" w:rsidRPr="00CE455A" w:rsidRDefault="00A7621B" w:rsidP="003F0C7E">
      <w:pPr>
        <w:pStyle w:val="NormalWeb"/>
        <w:spacing w:before="240" w:beforeAutospacing="0" w:after="240" w:afterAutospacing="0" w:line="276" w:lineRule="auto"/>
        <w:rPr>
          <w:rFonts w:ascii="Arial" w:hAnsi="Arial" w:cs="Arial"/>
          <w:lang w:val="es-ES"/>
        </w:rPr>
      </w:pPr>
      <w:r>
        <w:rPr>
          <w:rFonts w:ascii="Arial" w:hAnsi="Arial" w:cs="Arial"/>
          <w:lang w:val="es-ES"/>
        </w:rPr>
        <w:t>En el segundo trimestre</w:t>
      </w:r>
      <w:r w:rsidR="00D04057">
        <w:rPr>
          <w:rFonts w:ascii="Arial" w:hAnsi="Arial" w:cs="Arial"/>
          <w:lang w:val="es-ES"/>
        </w:rPr>
        <w:t xml:space="preserve"> de 2026, </w:t>
      </w:r>
      <w:r w:rsidR="0032093A">
        <w:rPr>
          <w:rFonts w:ascii="Arial" w:hAnsi="Arial" w:cs="Arial"/>
          <w:lang w:val="es-ES"/>
        </w:rPr>
        <w:t xml:space="preserve">el déficit </w:t>
      </w:r>
      <w:r w:rsidR="001B4A77">
        <w:rPr>
          <w:rFonts w:ascii="Arial" w:hAnsi="Arial" w:cs="Arial"/>
          <w:lang w:val="es-ES"/>
        </w:rPr>
        <w:t xml:space="preserve">en cuenta corriente </w:t>
      </w:r>
      <w:r w:rsidR="00305D15">
        <w:rPr>
          <w:rFonts w:ascii="Arial" w:hAnsi="Arial" w:cs="Arial"/>
          <w:lang w:val="es-ES"/>
        </w:rPr>
        <w:t xml:space="preserve">alcanzó </w:t>
      </w:r>
      <w:r w:rsidR="00BD0250">
        <w:rPr>
          <w:rFonts w:ascii="Arial" w:hAnsi="Arial" w:cs="Arial"/>
          <w:lang w:val="es-ES"/>
        </w:rPr>
        <w:t>los</w:t>
      </w:r>
      <w:r w:rsidR="00EE3C45">
        <w:rPr>
          <w:rFonts w:ascii="Arial" w:hAnsi="Arial" w:cs="Arial"/>
          <w:lang w:val="es-ES"/>
        </w:rPr>
        <w:t xml:space="preserve"> US$ </w:t>
      </w:r>
      <w:r w:rsidR="007567F7">
        <w:rPr>
          <w:rFonts w:ascii="Arial" w:hAnsi="Arial" w:cs="Arial"/>
          <w:lang w:val="es-ES"/>
        </w:rPr>
        <w:t>4</w:t>
      </w:r>
      <w:r w:rsidR="00BC6489">
        <w:rPr>
          <w:rFonts w:ascii="Arial" w:hAnsi="Arial" w:cs="Arial"/>
          <w:lang w:val="es-ES"/>
        </w:rPr>
        <w:t>.</w:t>
      </w:r>
      <w:r w:rsidR="007567F7">
        <w:rPr>
          <w:rFonts w:ascii="Arial" w:hAnsi="Arial" w:cs="Arial"/>
          <w:lang w:val="es-ES"/>
        </w:rPr>
        <w:t>7</w:t>
      </w:r>
      <w:r w:rsidR="00E03777">
        <w:rPr>
          <w:rFonts w:ascii="Arial" w:hAnsi="Arial" w:cs="Arial"/>
          <w:lang w:val="es-ES"/>
        </w:rPr>
        <w:t>0</w:t>
      </w:r>
      <w:r w:rsidR="007567F7">
        <w:rPr>
          <w:rFonts w:ascii="Arial" w:hAnsi="Arial" w:cs="Arial"/>
          <w:lang w:val="es-ES"/>
        </w:rPr>
        <w:t>2</w:t>
      </w:r>
      <w:r w:rsidR="00E03777">
        <w:rPr>
          <w:rFonts w:ascii="Arial" w:hAnsi="Arial" w:cs="Arial"/>
          <w:lang w:val="es-ES"/>
        </w:rPr>
        <w:t xml:space="preserve"> millones (</w:t>
      </w:r>
      <w:r w:rsidR="00CE1697">
        <w:rPr>
          <w:rFonts w:ascii="Arial" w:hAnsi="Arial" w:cs="Arial"/>
          <w:lang w:val="es-ES"/>
        </w:rPr>
        <w:t>m)</w:t>
      </w:r>
      <w:r w:rsidR="00D21AC5">
        <w:rPr>
          <w:rFonts w:ascii="Arial" w:hAnsi="Arial" w:cs="Arial"/>
          <w:lang w:val="es-ES"/>
        </w:rPr>
        <w:t xml:space="preserve">, </w:t>
      </w:r>
      <w:r w:rsidR="00FC03FA">
        <w:rPr>
          <w:rFonts w:ascii="Arial" w:hAnsi="Arial" w:cs="Arial"/>
          <w:lang w:val="es-ES"/>
        </w:rPr>
        <w:t xml:space="preserve">una cifra equivalente al </w:t>
      </w:r>
      <w:r w:rsidR="004C6AD9">
        <w:rPr>
          <w:rFonts w:ascii="Arial" w:hAnsi="Arial" w:cs="Arial"/>
          <w:lang w:val="es-ES"/>
        </w:rPr>
        <w:t>3,5% del PIB</w:t>
      </w:r>
      <w:r w:rsidR="009B3E16">
        <w:rPr>
          <w:rFonts w:ascii="Arial" w:hAnsi="Arial" w:cs="Arial"/>
          <w:lang w:val="es-ES"/>
        </w:rPr>
        <w:t xml:space="preserve"> trimestral</w:t>
      </w:r>
      <w:r w:rsidR="00DE5AAD">
        <w:rPr>
          <w:rFonts w:ascii="Arial" w:hAnsi="Arial" w:cs="Arial"/>
          <w:lang w:val="es-ES"/>
        </w:rPr>
        <w:t xml:space="preserve">. </w:t>
      </w:r>
      <w:r w:rsidR="00691BE9">
        <w:rPr>
          <w:rFonts w:ascii="Arial" w:hAnsi="Arial" w:cs="Arial"/>
          <w:lang w:val="es-ES"/>
        </w:rPr>
        <w:t>Esto</w:t>
      </w:r>
      <w:r w:rsidR="00A81471">
        <w:rPr>
          <w:rFonts w:ascii="Arial" w:hAnsi="Arial" w:cs="Arial"/>
          <w:lang w:val="es-ES"/>
        </w:rPr>
        <w:t xml:space="preserve"> representa un deterioro </w:t>
      </w:r>
      <w:r w:rsidR="00DC11B6">
        <w:rPr>
          <w:rFonts w:ascii="Arial" w:hAnsi="Arial" w:cs="Arial"/>
          <w:lang w:val="es-ES"/>
        </w:rPr>
        <w:t xml:space="preserve">significativo frente </w:t>
      </w:r>
      <w:r w:rsidR="00CB79F9">
        <w:rPr>
          <w:rFonts w:ascii="Arial" w:hAnsi="Arial" w:cs="Arial"/>
          <w:lang w:val="es-ES"/>
        </w:rPr>
        <w:t>al trimestre inmediatamente anterior</w:t>
      </w:r>
      <w:r w:rsidR="00C90B91">
        <w:rPr>
          <w:rFonts w:ascii="Arial" w:hAnsi="Arial" w:cs="Arial"/>
          <w:lang w:val="es-ES"/>
        </w:rPr>
        <w:t>,</w:t>
      </w:r>
      <w:r w:rsidR="00230C15">
        <w:rPr>
          <w:rFonts w:ascii="Arial" w:hAnsi="Arial" w:cs="Arial"/>
          <w:lang w:val="es-ES"/>
        </w:rPr>
        <w:t xml:space="preserve"> pues el déficit se amplió en 2,5 puntos porcentuales (pp) del PIB</w:t>
      </w:r>
      <w:r w:rsidR="009C7669">
        <w:rPr>
          <w:rFonts w:ascii="Arial" w:hAnsi="Arial" w:cs="Arial"/>
          <w:lang w:val="es-ES"/>
        </w:rPr>
        <w:t xml:space="preserve">, </w:t>
      </w:r>
      <w:r w:rsidR="004B6492">
        <w:rPr>
          <w:rFonts w:ascii="Arial" w:hAnsi="Arial" w:cs="Arial"/>
          <w:lang w:val="es-ES"/>
        </w:rPr>
        <w:t>soporta</w:t>
      </w:r>
      <w:r w:rsidR="00D43F09">
        <w:rPr>
          <w:rFonts w:ascii="Arial" w:hAnsi="Arial" w:cs="Arial"/>
          <w:lang w:val="es-ES"/>
        </w:rPr>
        <w:t>do en un deterioro de todos los rubros que componen l</w:t>
      </w:r>
      <w:r w:rsidR="0034761A">
        <w:rPr>
          <w:rFonts w:ascii="Arial" w:hAnsi="Arial" w:cs="Arial"/>
          <w:lang w:val="es-ES"/>
        </w:rPr>
        <w:t xml:space="preserve">a cuenta corriente. </w:t>
      </w:r>
      <w:r w:rsidR="00393D47">
        <w:rPr>
          <w:rFonts w:ascii="Arial" w:hAnsi="Arial" w:cs="Arial"/>
          <w:lang w:val="es-ES"/>
        </w:rPr>
        <w:t>En el caso de la balanza comercial de bienes y la renta factorial, el saldo deficitario creció</w:t>
      </w:r>
      <w:r w:rsidR="008C22E1">
        <w:rPr>
          <w:rFonts w:ascii="Arial" w:hAnsi="Arial" w:cs="Arial"/>
          <w:lang w:val="es-ES"/>
        </w:rPr>
        <w:t>. Por su lado, l</w:t>
      </w:r>
      <w:r w:rsidR="004B6F9A">
        <w:rPr>
          <w:rFonts w:ascii="Arial" w:hAnsi="Arial" w:cs="Arial"/>
          <w:lang w:val="es-ES"/>
        </w:rPr>
        <w:t>a balanza comercial de servicio</w:t>
      </w:r>
      <w:r w:rsidR="008C22E1">
        <w:rPr>
          <w:rFonts w:ascii="Arial" w:hAnsi="Arial" w:cs="Arial"/>
          <w:lang w:val="es-ES"/>
        </w:rPr>
        <w:t xml:space="preserve">s </w:t>
      </w:r>
      <w:r w:rsidR="004B6F9A">
        <w:rPr>
          <w:rFonts w:ascii="Arial" w:hAnsi="Arial" w:cs="Arial"/>
          <w:lang w:val="es-ES"/>
        </w:rPr>
        <w:t xml:space="preserve">pasó de un superávit (tal como había ocurrido en los primeros trimestres de los dos años anteriores) </w:t>
      </w:r>
      <w:r w:rsidR="00A73E5E">
        <w:rPr>
          <w:rFonts w:ascii="Arial" w:hAnsi="Arial" w:cs="Arial"/>
          <w:lang w:val="es-ES"/>
        </w:rPr>
        <w:t>a un déficit comercial</w:t>
      </w:r>
      <w:r w:rsidR="008C22E1">
        <w:rPr>
          <w:rFonts w:ascii="Arial" w:hAnsi="Arial" w:cs="Arial"/>
          <w:lang w:val="es-ES"/>
        </w:rPr>
        <w:t xml:space="preserve">, </w:t>
      </w:r>
      <w:r w:rsidR="00A73E5E">
        <w:rPr>
          <w:rFonts w:ascii="Arial" w:hAnsi="Arial" w:cs="Arial"/>
          <w:lang w:val="es-ES"/>
        </w:rPr>
        <w:t xml:space="preserve">y las transferencias corrientes disminuyeron marginalmente su </w:t>
      </w:r>
      <w:r w:rsidR="003D01E1">
        <w:rPr>
          <w:rFonts w:ascii="Arial" w:hAnsi="Arial" w:cs="Arial"/>
          <w:lang w:val="es-ES"/>
        </w:rPr>
        <w:t xml:space="preserve">rol amortiguador, cayendo </w:t>
      </w:r>
      <w:r w:rsidR="007C4024">
        <w:rPr>
          <w:rFonts w:ascii="Arial" w:hAnsi="Arial" w:cs="Arial"/>
          <w:lang w:val="es-ES"/>
        </w:rPr>
        <w:t>1</w:t>
      </w:r>
      <w:r w:rsidR="008C22E1">
        <w:rPr>
          <w:rFonts w:ascii="Arial" w:hAnsi="Arial" w:cs="Arial"/>
          <w:lang w:val="es-ES"/>
        </w:rPr>
        <w:t>,</w:t>
      </w:r>
      <w:r w:rsidR="007C4024">
        <w:rPr>
          <w:rFonts w:ascii="Arial" w:hAnsi="Arial" w:cs="Arial"/>
          <w:lang w:val="es-ES"/>
        </w:rPr>
        <w:t>12%</w:t>
      </w:r>
      <w:r w:rsidR="008C22E1">
        <w:rPr>
          <w:rFonts w:ascii="Arial" w:hAnsi="Arial" w:cs="Arial"/>
          <w:lang w:val="es-ES"/>
        </w:rPr>
        <w:t>.</w:t>
      </w:r>
    </w:p>
    <w:p w14:paraId="37F1A521" w14:textId="5E63A07A" w:rsidR="00923BDC" w:rsidRDefault="00923BDC" w:rsidP="00B33D70">
      <w:pPr>
        <w:spacing w:line="276" w:lineRule="auto"/>
        <w:rPr>
          <w:rFonts w:ascii="Arial" w:hAnsi="Arial" w:cs="Arial"/>
          <w:b/>
          <w:bCs/>
          <w:color w:val="000000"/>
          <w:sz w:val="22"/>
          <w:szCs w:val="22"/>
          <w:lang w:val="es-ES"/>
        </w:rPr>
      </w:pPr>
      <w:r w:rsidRPr="0843B3CC">
        <w:rPr>
          <w:rFonts w:ascii="Arial" w:hAnsi="Arial" w:cs="Arial"/>
          <w:b/>
          <w:bCs/>
          <w:color w:val="000000" w:themeColor="text1"/>
          <w:sz w:val="22"/>
          <w:szCs w:val="22"/>
          <w:lang w:val="es-ES"/>
        </w:rPr>
        <w:t>Gráfico 1</w:t>
      </w:r>
      <w:r w:rsidR="003941DC" w:rsidRPr="0843B3CC">
        <w:rPr>
          <w:rFonts w:ascii="Arial" w:hAnsi="Arial" w:cs="Arial"/>
          <w:b/>
          <w:bCs/>
          <w:color w:val="000000" w:themeColor="text1"/>
          <w:sz w:val="22"/>
          <w:szCs w:val="22"/>
          <w:lang w:val="es-ES"/>
        </w:rPr>
        <w:t>.</w:t>
      </w:r>
      <w:r w:rsidRPr="0843B3CC">
        <w:rPr>
          <w:rFonts w:ascii="Arial" w:hAnsi="Arial" w:cs="Arial"/>
          <w:b/>
          <w:bCs/>
          <w:color w:val="000000" w:themeColor="text1"/>
          <w:sz w:val="22"/>
          <w:szCs w:val="22"/>
          <w:lang w:val="es-ES"/>
        </w:rPr>
        <w:t xml:space="preserve"> Cuenta Corriente trimestral T</w:t>
      </w:r>
      <w:r w:rsidR="00CE455A" w:rsidRPr="0843B3CC">
        <w:rPr>
          <w:rFonts w:ascii="Arial" w:hAnsi="Arial" w:cs="Arial"/>
          <w:b/>
          <w:bCs/>
          <w:color w:val="000000" w:themeColor="text1"/>
          <w:sz w:val="22"/>
          <w:szCs w:val="22"/>
          <w:lang w:val="es-ES"/>
        </w:rPr>
        <w:t>1</w:t>
      </w:r>
      <w:r w:rsidRPr="0843B3CC">
        <w:rPr>
          <w:rFonts w:ascii="Arial" w:hAnsi="Arial" w:cs="Arial"/>
          <w:b/>
          <w:bCs/>
          <w:color w:val="000000" w:themeColor="text1"/>
          <w:sz w:val="22"/>
          <w:szCs w:val="22"/>
          <w:lang w:val="es-ES"/>
        </w:rPr>
        <w:t xml:space="preserve"> 202</w:t>
      </w:r>
      <w:r w:rsidR="00CE455A" w:rsidRPr="0843B3CC">
        <w:rPr>
          <w:rFonts w:ascii="Arial" w:hAnsi="Arial" w:cs="Arial"/>
          <w:b/>
          <w:bCs/>
          <w:color w:val="000000" w:themeColor="text1"/>
          <w:sz w:val="22"/>
          <w:szCs w:val="22"/>
          <w:lang w:val="es-ES"/>
        </w:rPr>
        <w:t>2</w:t>
      </w:r>
      <w:r w:rsidRPr="0843B3CC">
        <w:rPr>
          <w:rFonts w:ascii="Arial" w:hAnsi="Arial" w:cs="Arial"/>
          <w:b/>
          <w:bCs/>
          <w:color w:val="000000" w:themeColor="text1"/>
          <w:sz w:val="22"/>
          <w:szCs w:val="22"/>
          <w:lang w:val="es-ES"/>
        </w:rPr>
        <w:t xml:space="preserve"> – T</w:t>
      </w:r>
      <w:r w:rsidR="003F0C7E" w:rsidRPr="0843B3CC">
        <w:rPr>
          <w:rFonts w:ascii="Arial" w:hAnsi="Arial" w:cs="Arial"/>
          <w:b/>
          <w:bCs/>
          <w:color w:val="000000" w:themeColor="text1"/>
          <w:sz w:val="22"/>
          <w:szCs w:val="22"/>
          <w:lang w:val="es-ES"/>
        </w:rPr>
        <w:t>2</w:t>
      </w:r>
      <w:r w:rsidRPr="0843B3CC">
        <w:rPr>
          <w:rFonts w:ascii="Arial" w:hAnsi="Arial" w:cs="Arial"/>
          <w:b/>
          <w:bCs/>
          <w:color w:val="000000" w:themeColor="text1"/>
          <w:sz w:val="22"/>
          <w:szCs w:val="22"/>
          <w:lang w:val="es-ES"/>
        </w:rPr>
        <w:t xml:space="preserve"> 202</w:t>
      </w:r>
      <w:r w:rsidR="00CE455A" w:rsidRPr="0843B3CC">
        <w:rPr>
          <w:rFonts w:ascii="Arial" w:hAnsi="Arial" w:cs="Arial"/>
          <w:b/>
          <w:bCs/>
          <w:color w:val="000000" w:themeColor="text1"/>
          <w:sz w:val="22"/>
          <w:szCs w:val="22"/>
          <w:lang w:val="es-ES"/>
        </w:rPr>
        <w:t>6</w:t>
      </w:r>
      <w:r w:rsidRPr="0843B3CC">
        <w:rPr>
          <w:rFonts w:ascii="Arial" w:hAnsi="Arial" w:cs="Arial"/>
          <w:b/>
          <w:bCs/>
          <w:color w:val="000000" w:themeColor="text1"/>
          <w:sz w:val="22"/>
          <w:szCs w:val="22"/>
          <w:lang w:val="es-ES"/>
        </w:rPr>
        <w:t xml:space="preserve"> (millones de dólares)</w:t>
      </w:r>
    </w:p>
    <w:p w14:paraId="489EA448" w14:textId="30AF5DBB" w:rsidR="00CE455A" w:rsidRPr="007140A8" w:rsidRDefault="00C21F5F" w:rsidP="0843B3CC">
      <w:pPr>
        <w:spacing w:line="276" w:lineRule="auto"/>
        <w:rPr>
          <w:lang w:val="es-ES"/>
        </w:rPr>
      </w:pPr>
      <w:r>
        <w:rPr>
          <w:noProof/>
          <w14:ligatures w14:val="standardContextual"/>
        </w:rPr>
        <w:drawing>
          <wp:inline distT="0" distB="0" distL="0" distR="0" wp14:anchorId="52ABAB65" wp14:editId="03331A82">
            <wp:extent cx="5943600" cy="4151586"/>
            <wp:effectExtent l="0" t="0" r="0" b="1905"/>
            <wp:docPr id="1" name="Gráfico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73FDF4E" w14:textId="3B986F39" w:rsidR="006C57CE" w:rsidRDefault="006C57CE" w:rsidP="0843B3CC">
      <w:pPr>
        <w:spacing w:line="276" w:lineRule="auto"/>
        <w:rPr>
          <w:rFonts w:ascii="Arial" w:hAnsi="Arial" w:cs="Arial"/>
          <w:color w:val="000000"/>
          <w:sz w:val="22"/>
          <w:szCs w:val="22"/>
          <w:lang w:val="es-ES"/>
        </w:rPr>
      </w:pPr>
      <w:r w:rsidRPr="00E330B0">
        <w:rPr>
          <w:rFonts w:ascii="Arial" w:hAnsi="Arial" w:cs="Arial"/>
          <w:b/>
          <w:bCs/>
          <w:color w:val="000000"/>
          <w:sz w:val="22"/>
          <w:szCs w:val="22"/>
          <w:lang w:val="es-ES"/>
        </w:rPr>
        <w:t>Fuente:</w:t>
      </w:r>
      <w:r w:rsidRPr="00E330B0">
        <w:rPr>
          <w:rFonts w:ascii="Arial" w:hAnsi="Arial" w:cs="Arial"/>
          <w:color w:val="000000"/>
          <w:sz w:val="22"/>
          <w:szCs w:val="22"/>
          <w:lang w:val="es-ES"/>
        </w:rPr>
        <w:t xml:space="preserve"> Elaboración propia con datos del Banco de la República (</w:t>
      </w:r>
      <w:r>
        <w:rPr>
          <w:rFonts w:ascii="Arial" w:hAnsi="Arial" w:cs="Arial"/>
          <w:color w:val="000000"/>
          <w:sz w:val="22"/>
          <w:szCs w:val="22"/>
          <w:lang w:val="es-ES"/>
        </w:rPr>
        <w:t>2026b</w:t>
      </w:r>
      <w:r w:rsidRPr="00E330B0">
        <w:rPr>
          <w:rFonts w:ascii="Arial" w:hAnsi="Arial" w:cs="Arial"/>
          <w:color w:val="000000"/>
          <w:sz w:val="22"/>
          <w:szCs w:val="22"/>
          <w:lang w:val="es-ES"/>
        </w:rPr>
        <w:t>).</w:t>
      </w:r>
    </w:p>
    <w:p w14:paraId="422DE0E1" w14:textId="77777777" w:rsidR="006C57CE" w:rsidRPr="006C57CE" w:rsidRDefault="006C57CE" w:rsidP="0843B3CC">
      <w:pPr>
        <w:spacing w:line="276" w:lineRule="auto"/>
        <w:rPr>
          <w:rFonts w:ascii="Arial" w:hAnsi="Arial" w:cs="Arial"/>
          <w:color w:val="000000"/>
          <w:sz w:val="22"/>
          <w:szCs w:val="22"/>
          <w:lang w:val="es-ES"/>
        </w:rPr>
      </w:pPr>
    </w:p>
    <w:p w14:paraId="6BB675A0" w14:textId="07268911" w:rsidR="00923BDC" w:rsidRPr="00F71659" w:rsidRDefault="003D3E3D" w:rsidP="00B33D70">
      <w:pPr>
        <w:spacing w:line="276" w:lineRule="auto"/>
        <w:rPr>
          <w:rFonts w:ascii="Arial" w:hAnsi="Arial" w:cs="Arial"/>
        </w:rPr>
      </w:pPr>
      <w:r w:rsidRPr="00F71659">
        <w:rPr>
          <w:rFonts w:ascii="Arial" w:hAnsi="Arial" w:cs="Arial"/>
        </w:rPr>
        <w:t xml:space="preserve">En la serie </w:t>
      </w:r>
      <w:r w:rsidR="004C220B">
        <w:rPr>
          <w:rFonts w:ascii="Arial" w:hAnsi="Arial" w:cs="Arial"/>
        </w:rPr>
        <w:t xml:space="preserve">reciente, </w:t>
      </w:r>
      <w:r w:rsidRPr="00F71659">
        <w:rPr>
          <w:rFonts w:ascii="Arial" w:hAnsi="Arial" w:cs="Arial"/>
        </w:rPr>
        <w:t xml:space="preserve">no se observaba un </w:t>
      </w:r>
      <w:r w:rsidR="004C220B">
        <w:rPr>
          <w:rFonts w:ascii="Arial" w:hAnsi="Arial" w:cs="Arial"/>
        </w:rPr>
        <w:t xml:space="preserve">nivel de déficit </w:t>
      </w:r>
      <w:r w:rsidR="000E7188">
        <w:rPr>
          <w:rFonts w:ascii="Arial" w:hAnsi="Arial" w:cs="Arial"/>
        </w:rPr>
        <w:t xml:space="preserve">cercano al 3,5% del PIB </w:t>
      </w:r>
      <w:r w:rsidR="004C220B">
        <w:rPr>
          <w:rFonts w:ascii="Arial" w:hAnsi="Arial" w:cs="Arial"/>
        </w:rPr>
        <w:t>desde el primer trimestre de 2023</w:t>
      </w:r>
      <w:r w:rsidR="000E6297">
        <w:rPr>
          <w:rFonts w:ascii="Arial" w:hAnsi="Arial" w:cs="Arial"/>
        </w:rPr>
        <w:t xml:space="preserve"> (ver Gráfico 1)</w:t>
      </w:r>
      <w:r w:rsidR="000E7188">
        <w:rPr>
          <w:rFonts w:ascii="Arial" w:hAnsi="Arial" w:cs="Arial"/>
        </w:rPr>
        <w:t>. Ahora, l</w:t>
      </w:r>
      <w:r w:rsidR="00E70665">
        <w:rPr>
          <w:rFonts w:ascii="Arial" w:hAnsi="Arial" w:cs="Arial"/>
        </w:rPr>
        <w:t xml:space="preserve">a composición del déficit actual se da de la siguiente manera: la balanza comercial de bienes se ubicó </w:t>
      </w:r>
      <w:r w:rsidR="004A7252">
        <w:rPr>
          <w:rFonts w:ascii="Arial" w:hAnsi="Arial" w:cs="Arial"/>
        </w:rPr>
        <w:t>en -US$ 4.915 m,</w:t>
      </w:r>
      <w:r w:rsidR="008C5D5E">
        <w:rPr>
          <w:rFonts w:ascii="Arial" w:hAnsi="Arial" w:cs="Arial"/>
        </w:rPr>
        <w:t xml:space="preserve"> con las exportaciones sumando </w:t>
      </w:r>
      <w:r w:rsidR="006E17D8">
        <w:rPr>
          <w:rFonts w:ascii="Arial" w:hAnsi="Arial" w:cs="Arial"/>
        </w:rPr>
        <w:t xml:space="preserve">US$ </w:t>
      </w:r>
      <w:r w:rsidR="00BE705B">
        <w:rPr>
          <w:rFonts w:ascii="Arial" w:hAnsi="Arial" w:cs="Arial"/>
        </w:rPr>
        <w:t xml:space="preserve">14.362 m </w:t>
      </w:r>
      <w:r w:rsidR="00FE0E43">
        <w:rPr>
          <w:rFonts w:ascii="Arial" w:hAnsi="Arial" w:cs="Arial"/>
        </w:rPr>
        <w:t>y</w:t>
      </w:r>
      <w:r w:rsidR="00BE705B">
        <w:rPr>
          <w:rFonts w:ascii="Arial" w:hAnsi="Arial" w:cs="Arial"/>
        </w:rPr>
        <w:t xml:space="preserve"> las</w:t>
      </w:r>
      <w:r w:rsidR="008C5D5E">
        <w:rPr>
          <w:rFonts w:ascii="Arial" w:hAnsi="Arial" w:cs="Arial"/>
        </w:rPr>
        <w:t xml:space="preserve"> importaciones US$ 19.27</w:t>
      </w:r>
      <w:r w:rsidR="00BE705B">
        <w:rPr>
          <w:rFonts w:ascii="Arial" w:hAnsi="Arial" w:cs="Arial"/>
        </w:rPr>
        <w:t>7</w:t>
      </w:r>
      <w:r w:rsidR="008C5D5E">
        <w:rPr>
          <w:rFonts w:ascii="Arial" w:hAnsi="Arial" w:cs="Arial"/>
        </w:rPr>
        <w:t xml:space="preserve"> m</w:t>
      </w:r>
      <w:r w:rsidR="00870A2A">
        <w:rPr>
          <w:rFonts w:ascii="Arial" w:hAnsi="Arial" w:cs="Arial"/>
        </w:rPr>
        <w:t xml:space="preserve">, </w:t>
      </w:r>
      <w:r w:rsidR="00C1315F">
        <w:rPr>
          <w:rFonts w:ascii="Arial" w:hAnsi="Arial" w:cs="Arial"/>
        </w:rPr>
        <w:t>por lo que</w:t>
      </w:r>
      <w:r w:rsidR="00C83029">
        <w:rPr>
          <w:rFonts w:ascii="Arial" w:hAnsi="Arial" w:cs="Arial"/>
        </w:rPr>
        <w:t xml:space="preserve"> el déficit para este trimestre corresponde a</w:t>
      </w:r>
      <w:r w:rsidR="00CF0416">
        <w:rPr>
          <w:rFonts w:ascii="Arial" w:hAnsi="Arial" w:cs="Arial"/>
        </w:rPr>
        <w:t>l más alto</w:t>
      </w:r>
      <w:r w:rsidR="00C83029">
        <w:rPr>
          <w:rFonts w:ascii="Arial" w:hAnsi="Arial" w:cs="Arial"/>
        </w:rPr>
        <w:t xml:space="preserve"> para cualquier trimestre </w:t>
      </w:r>
      <w:r w:rsidR="000A4FC2">
        <w:rPr>
          <w:rFonts w:ascii="Arial" w:hAnsi="Arial" w:cs="Arial"/>
        </w:rPr>
        <w:t xml:space="preserve">de la serie </w:t>
      </w:r>
      <w:r w:rsidR="008F43FF">
        <w:rPr>
          <w:rFonts w:ascii="Arial" w:hAnsi="Arial" w:cs="Arial"/>
        </w:rPr>
        <w:t>iniciada</w:t>
      </w:r>
      <w:r w:rsidR="000A4FC2">
        <w:rPr>
          <w:rFonts w:ascii="Arial" w:hAnsi="Arial" w:cs="Arial"/>
        </w:rPr>
        <w:t xml:space="preserve"> en el 2000; </w:t>
      </w:r>
      <w:r w:rsidR="002C7D45">
        <w:rPr>
          <w:rFonts w:ascii="Arial" w:hAnsi="Arial" w:cs="Arial"/>
        </w:rPr>
        <w:t xml:space="preserve">la balanza comercial de servicios </w:t>
      </w:r>
      <w:r w:rsidR="00F06987">
        <w:rPr>
          <w:rFonts w:ascii="Arial" w:hAnsi="Arial" w:cs="Arial"/>
        </w:rPr>
        <w:t>nuevamente cerró en un saldo deficitari</w:t>
      </w:r>
      <w:r w:rsidR="00FC01CA">
        <w:rPr>
          <w:rFonts w:ascii="Arial" w:hAnsi="Arial" w:cs="Arial"/>
        </w:rPr>
        <w:t>o, el cual fue de</w:t>
      </w:r>
      <w:r w:rsidR="008022FE">
        <w:rPr>
          <w:rFonts w:ascii="Arial" w:hAnsi="Arial" w:cs="Arial"/>
        </w:rPr>
        <w:t xml:space="preserve"> US$ </w:t>
      </w:r>
      <w:r w:rsidR="00FE0E43">
        <w:rPr>
          <w:rFonts w:ascii="Arial" w:hAnsi="Arial" w:cs="Arial"/>
        </w:rPr>
        <w:t>631 m</w:t>
      </w:r>
      <w:r w:rsidR="00FC01CA">
        <w:rPr>
          <w:rFonts w:ascii="Arial" w:hAnsi="Arial" w:cs="Arial"/>
        </w:rPr>
        <w:t xml:space="preserve">; </w:t>
      </w:r>
      <w:r w:rsidR="00092127">
        <w:rPr>
          <w:rFonts w:ascii="Arial" w:hAnsi="Arial" w:cs="Arial"/>
        </w:rPr>
        <w:t xml:space="preserve">para </w:t>
      </w:r>
      <w:r w:rsidR="00FC01CA">
        <w:rPr>
          <w:rFonts w:ascii="Arial" w:hAnsi="Arial" w:cs="Arial"/>
        </w:rPr>
        <w:t xml:space="preserve">el ingreso primario </w:t>
      </w:r>
      <w:r w:rsidR="00092127">
        <w:rPr>
          <w:rFonts w:ascii="Arial" w:hAnsi="Arial" w:cs="Arial"/>
        </w:rPr>
        <w:t xml:space="preserve">se estimaron egresos netos por </w:t>
      </w:r>
      <w:r w:rsidR="00553695">
        <w:rPr>
          <w:rFonts w:ascii="Arial" w:hAnsi="Arial" w:cs="Arial"/>
        </w:rPr>
        <w:t>US$ 3.287 m</w:t>
      </w:r>
      <w:r w:rsidR="00D35889">
        <w:rPr>
          <w:rFonts w:ascii="Arial" w:hAnsi="Arial" w:cs="Arial"/>
        </w:rPr>
        <w:t xml:space="preserve">, </w:t>
      </w:r>
      <w:r w:rsidR="00395F6B">
        <w:rPr>
          <w:rFonts w:ascii="Arial" w:hAnsi="Arial" w:cs="Arial"/>
        </w:rPr>
        <w:t xml:space="preserve">dentro de los cuales </w:t>
      </w:r>
      <w:r w:rsidR="005B0FBE">
        <w:rPr>
          <w:rFonts w:ascii="Arial" w:hAnsi="Arial" w:cs="Arial"/>
        </w:rPr>
        <w:t xml:space="preserve">sobresalen </w:t>
      </w:r>
      <w:r w:rsidR="00102923">
        <w:rPr>
          <w:rFonts w:ascii="Arial" w:hAnsi="Arial" w:cs="Arial"/>
        </w:rPr>
        <w:t xml:space="preserve">las salidas netas asociadas </w:t>
      </w:r>
      <w:r w:rsidR="00240D62">
        <w:rPr>
          <w:rFonts w:ascii="Arial" w:hAnsi="Arial" w:cs="Arial"/>
        </w:rPr>
        <w:t xml:space="preserve">a las </w:t>
      </w:r>
      <w:r w:rsidR="005B0FBE">
        <w:rPr>
          <w:rFonts w:ascii="Arial" w:hAnsi="Arial" w:cs="Arial"/>
        </w:rPr>
        <w:t>rentas</w:t>
      </w:r>
      <w:r w:rsidR="00240D62">
        <w:rPr>
          <w:rFonts w:ascii="Arial" w:hAnsi="Arial" w:cs="Arial"/>
        </w:rPr>
        <w:t xml:space="preserve"> de inversión </w:t>
      </w:r>
      <w:r w:rsidR="005B0FBE">
        <w:rPr>
          <w:rFonts w:ascii="Arial" w:hAnsi="Arial" w:cs="Arial"/>
        </w:rPr>
        <w:t>de cartera</w:t>
      </w:r>
      <w:r w:rsidR="00B0358C">
        <w:rPr>
          <w:rFonts w:ascii="Arial" w:hAnsi="Arial" w:cs="Arial"/>
        </w:rPr>
        <w:t xml:space="preserve"> </w:t>
      </w:r>
      <w:r w:rsidR="00102923">
        <w:rPr>
          <w:rFonts w:ascii="Arial" w:hAnsi="Arial" w:cs="Arial"/>
        </w:rPr>
        <w:t xml:space="preserve">por US$ </w:t>
      </w:r>
      <w:r w:rsidR="00B0358C">
        <w:rPr>
          <w:rFonts w:ascii="Arial" w:hAnsi="Arial" w:cs="Arial"/>
        </w:rPr>
        <w:t>1.683 m</w:t>
      </w:r>
      <w:r w:rsidR="00102923">
        <w:rPr>
          <w:rFonts w:ascii="Arial" w:hAnsi="Arial" w:cs="Arial"/>
        </w:rPr>
        <w:t>, las rentas de inversión directa por US$ 909 m</w:t>
      </w:r>
      <w:r w:rsidR="00245F54">
        <w:rPr>
          <w:rFonts w:ascii="Arial" w:hAnsi="Arial" w:cs="Arial"/>
        </w:rPr>
        <w:t xml:space="preserve"> y </w:t>
      </w:r>
      <w:r w:rsidR="007B7C82">
        <w:rPr>
          <w:rFonts w:ascii="Arial" w:hAnsi="Arial" w:cs="Arial"/>
        </w:rPr>
        <w:t xml:space="preserve">el </w:t>
      </w:r>
      <w:r w:rsidR="00245F54">
        <w:rPr>
          <w:rFonts w:ascii="Arial" w:hAnsi="Arial" w:cs="Arial"/>
        </w:rPr>
        <w:t xml:space="preserve">pago de intereses de otras inversiones </w:t>
      </w:r>
      <w:r w:rsidR="007B7C82">
        <w:rPr>
          <w:rFonts w:ascii="Arial" w:hAnsi="Arial" w:cs="Arial"/>
        </w:rPr>
        <w:t xml:space="preserve">y activos </w:t>
      </w:r>
      <w:r w:rsidR="00245F54">
        <w:rPr>
          <w:rFonts w:ascii="Arial" w:hAnsi="Arial" w:cs="Arial"/>
        </w:rPr>
        <w:t>por US$ 730</w:t>
      </w:r>
      <w:r w:rsidR="000E6297">
        <w:rPr>
          <w:rFonts w:ascii="Arial" w:hAnsi="Arial" w:cs="Arial"/>
        </w:rPr>
        <w:t xml:space="preserve">; por último, las transferencias corrientes </w:t>
      </w:r>
      <w:r w:rsidR="006C57CE">
        <w:rPr>
          <w:rFonts w:ascii="Arial" w:hAnsi="Arial" w:cs="Arial"/>
        </w:rPr>
        <w:t>sumaron</w:t>
      </w:r>
      <w:r w:rsidR="00A96C43">
        <w:rPr>
          <w:rFonts w:ascii="Arial" w:hAnsi="Arial" w:cs="Arial"/>
        </w:rPr>
        <w:t xml:space="preserve"> entradas netas por</w:t>
      </w:r>
      <w:r w:rsidR="000E6297">
        <w:rPr>
          <w:rFonts w:ascii="Arial" w:hAnsi="Arial" w:cs="Arial"/>
        </w:rPr>
        <w:t xml:space="preserve"> </w:t>
      </w:r>
      <w:r w:rsidR="007B7C82">
        <w:rPr>
          <w:rFonts w:ascii="Arial" w:hAnsi="Arial" w:cs="Arial"/>
        </w:rPr>
        <w:t xml:space="preserve">US$ </w:t>
      </w:r>
      <w:r w:rsidR="006A3960">
        <w:rPr>
          <w:rFonts w:ascii="Arial" w:hAnsi="Arial" w:cs="Arial"/>
        </w:rPr>
        <w:t xml:space="preserve">4.131 m, </w:t>
      </w:r>
      <w:r w:rsidR="0099303C">
        <w:rPr>
          <w:rFonts w:ascii="Arial" w:hAnsi="Arial" w:cs="Arial"/>
        </w:rPr>
        <w:t xml:space="preserve">donde las remesas contribuyeron con el </w:t>
      </w:r>
      <w:r w:rsidR="006C57CE">
        <w:rPr>
          <w:rFonts w:ascii="Arial" w:hAnsi="Arial" w:cs="Arial"/>
        </w:rPr>
        <w:t>78% del total.</w:t>
      </w:r>
    </w:p>
    <w:p w14:paraId="03311F04" w14:textId="77777777" w:rsidR="007400A1" w:rsidRPr="00F71659" w:rsidRDefault="007400A1" w:rsidP="00B33D70">
      <w:pPr>
        <w:spacing w:line="276" w:lineRule="auto"/>
        <w:rPr>
          <w:rFonts w:ascii="Arial" w:hAnsi="Arial" w:cs="Arial"/>
        </w:rPr>
      </w:pPr>
    </w:p>
    <w:p w14:paraId="7345E80E" w14:textId="0D98A034" w:rsidR="004F1DE6" w:rsidRDefault="00354C8B" w:rsidP="00CD0CAF">
      <w:pPr>
        <w:spacing w:line="276" w:lineRule="auto"/>
        <w:rPr>
          <w:rFonts w:ascii="Arial" w:hAnsi="Arial" w:cs="Arial"/>
          <w:color w:val="000000"/>
          <w:lang w:val="es-ES"/>
        </w:rPr>
      </w:pPr>
      <w:r>
        <w:rPr>
          <w:rFonts w:ascii="Arial" w:hAnsi="Arial" w:cs="Arial"/>
          <w:color w:val="000000"/>
          <w:lang w:val="es-ES"/>
        </w:rPr>
        <w:t>Por otra parte, respecto a lo acontecido en el segundo trimestre de 2025</w:t>
      </w:r>
      <w:r w:rsidR="005336DC">
        <w:rPr>
          <w:rFonts w:ascii="Arial" w:hAnsi="Arial" w:cs="Arial"/>
          <w:color w:val="000000"/>
          <w:lang w:val="es-ES"/>
        </w:rPr>
        <w:t xml:space="preserve">, la ampliación del déficit </w:t>
      </w:r>
      <w:r w:rsidR="001C0979">
        <w:rPr>
          <w:rFonts w:ascii="Arial" w:hAnsi="Arial" w:cs="Arial"/>
          <w:color w:val="000000"/>
          <w:lang w:val="es-ES"/>
        </w:rPr>
        <w:t xml:space="preserve">fue del orden de 1,1 pp del PIB </w:t>
      </w:r>
      <w:r w:rsidR="00715261">
        <w:rPr>
          <w:rFonts w:ascii="Arial" w:hAnsi="Arial" w:cs="Arial"/>
          <w:color w:val="000000"/>
          <w:lang w:val="es-ES"/>
        </w:rPr>
        <w:t>(-US$ 2.225 m)</w:t>
      </w:r>
      <w:r w:rsidR="009C5E4F">
        <w:rPr>
          <w:rFonts w:ascii="Arial" w:hAnsi="Arial" w:cs="Arial"/>
          <w:color w:val="000000"/>
          <w:lang w:val="es-ES"/>
        </w:rPr>
        <w:t xml:space="preserve">. Esto se vio </w:t>
      </w:r>
      <w:r w:rsidR="000109C0">
        <w:rPr>
          <w:rFonts w:ascii="Arial" w:hAnsi="Arial" w:cs="Arial"/>
          <w:color w:val="000000"/>
          <w:lang w:val="es-ES"/>
        </w:rPr>
        <w:t xml:space="preserve">explicado </w:t>
      </w:r>
      <w:r w:rsidR="006700C0">
        <w:rPr>
          <w:rFonts w:ascii="Arial" w:hAnsi="Arial" w:cs="Arial"/>
          <w:color w:val="000000"/>
          <w:lang w:val="es-ES"/>
        </w:rPr>
        <w:t xml:space="preserve">por un incremento </w:t>
      </w:r>
      <w:r w:rsidR="00467450">
        <w:rPr>
          <w:rFonts w:ascii="Arial" w:hAnsi="Arial" w:cs="Arial"/>
          <w:color w:val="000000"/>
          <w:lang w:val="es-ES"/>
        </w:rPr>
        <w:t xml:space="preserve">de </w:t>
      </w:r>
      <w:r w:rsidR="008F62D1">
        <w:rPr>
          <w:rFonts w:ascii="Arial" w:hAnsi="Arial" w:cs="Arial"/>
          <w:color w:val="000000"/>
          <w:lang w:val="es-ES"/>
        </w:rPr>
        <w:t>US</w:t>
      </w:r>
      <w:r w:rsidR="009F5A14">
        <w:rPr>
          <w:rFonts w:ascii="Arial" w:hAnsi="Arial" w:cs="Arial"/>
          <w:color w:val="000000"/>
          <w:lang w:val="es-ES"/>
        </w:rPr>
        <w:t>$</w:t>
      </w:r>
      <w:r w:rsidR="008F62D1">
        <w:rPr>
          <w:rFonts w:ascii="Arial" w:hAnsi="Arial" w:cs="Arial"/>
          <w:color w:val="000000"/>
          <w:lang w:val="es-ES"/>
        </w:rPr>
        <w:t xml:space="preserve"> 1.276 m </w:t>
      </w:r>
      <w:r w:rsidR="00632AE1">
        <w:rPr>
          <w:rFonts w:ascii="Arial" w:hAnsi="Arial" w:cs="Arial"/>
          <w:color w:val="000000"/>
          <w:lang w:val="es-ES"/>
        </w:rPr>
        <w:t xml:space="preserve">en </w:t>
      </w:r>
      <w:r w:rsidR="00DD08A5">
        <w:rPr>
          <w:rFonts w:ascii="Arial" w:hAnsi="Arial" w:cs="Arial"/>
          <w:color w:val="000000"/>
          <w:lang w:val="es-ES"/>
        </w:rPr>
        <w:t xml:space="preserve">el </w:t>
      </w:r>
      <w:r w:rsidR="00F764B2">
        <w:rPr>
          <w:rFonts w:ascii="Arial" w:hAnsi="Arial" w:cs="Arial"/>
          <w:color w:val="000000"/>
          <w:lang w:val="es-ES"/>
        </w:rPr>
        <w:t>déficit comercial de bienes</w:t>
      </w:r>
      <w:r w:rsidR="00DD08A5">
        <w:rPr>
          <w:rFonts w:ascii="Arial" w:hAnsi="Arial" w:cs="Arial"/>
          <w:color w:val="000000"/>
          <w:lang w:val="es-ES"/>
        </w:rPr>
        <w:t xml:space="preserve">, </w:t>
      </w:r>
      <w:r w:rsidR="004D31F0">
        <w:rPr>
          <w:rFonts w:ascii="Arial" w:hAnsi="Arial" w:cs="Arial"/>
          <w:color w:val="000000"/>
          <w:lang w:val="es-ES"/>
        </w:rPr>
        <w:t>bajo el cual las importaciones crecieron a un ritmo mayor que las exportaciones</w:t>
      </w:r>
      <w:r w:rsidR="00B40FB9">
        <w:rPr>
          <w:rFonts w:ascii="Arial" w:hAnsi="Arial" w:cs="Arial"/>
          <w:color w:val="000000"/>
          <w:lang w:val="es-ES"/>
        </w:rPr>
        <w:t>: 17,8%</w:t>
      </w:r>
      <w:r w:rsidR="008C7372">
        <w:rPr>
          <w:rFonts w:ascii="Arial" w:hAnsi="Arial" w:cs="Arial"/>
          <w:color w:val="000000"/>
          <w:lang w:val="es-ES"/>
        </w:rPr>
        <w:t xml:space="preserve"> </w:t>
      </w:r>
      <w:r w:rsidR="001052A8">
        <w:rPr>
          <w:rFonts w:ascii="Arial" w:hAnsi="Arial" w:cs="Arial"/>
          <w:color w:val="000000"/>
          <w:lang w:val="es-ES"/>
        </w:rPr>
        <w:t xml:space="preserve">y 12,9%, respectivamente. </w:t>
      </w:r>
      <w:r w:rsidR="00AC4C42">
        <w:rPr>
          <w:rFonts w:ascii="Arial" w:hAnsi="Arial" w:cs="Arial"/>
          <w:color w:val="000000"/>
          <w:lang w:val="es-ES"/>
        </w:rPr>
        <w:t xml:space="preserve">A ello se suma la presión ejercida por </w:t>
      </w:r>
      <w:r w:rsidR="00523B7F">
        <w:rPr>
          <w:rFonts w:ascii="Arial" w:hAnsi="Arial" w:cs="Arial"/>
          <w:color w:val="000000"/>
          <w:lang w:val="es-ES"/>
        </w:rPr>
        <w:t>una mayor salid</w:t>
      </w:r>
      <w:r w:rsidR="00331AAC">
        <w:rPr>
          <w:rFonts w:ascii="Arial" w:hAnsi="Arial" w:cs="Arial"/>
          <w:color w:val="000000"/>
          <w:lang w:val="es-ES"/>
        </w:rPr>
        <w:t xml:space="preserve">a neta de ingresos primarios, </w:t>
      </w:r>
      <w:r w:rsidR="00986D36">
        <w:rPr>
          <w:rFonts w:ascii="Arial" w:hAnsi="Arial" w:cs="Arial"/>
          <w:color w:val="000000"/>
          <w:lang w:val="es-ES"/>
        </w:rPr>
        <w:t xml:space="preserve">que </w:t>
      </w:r>
      <w:r w:rsidR="004949CF">
        <w:rPr>
          <w:rFonts w:ascii="Arial" w:hAnsi="Arial" w:cs="Arial"/>
          <w:color w:val="000000"/>
          <w:lang w:val="es-ES"/>
        </w:rPr>
        <w:t>intertrimestralmente</w:t>
      </w:r>
      <w:r w:rsidR="00986D36">
        <w:rPr>
          <w:rFonts w:ascii="Arial" w:hAnsi="Arial" w:cs="Arial"/>
          <w:color w:val="000000"/>
          <w:lang w:val="es-ES"/>
        </w:rPr>
        <w:t xml:space="preserve"> creció </w:t>
      </w:r>
      <w:r w:rsidR="00A76E8E">
        <w:rPr>
          <w:rFonts w:ascii="Arial" w:hAnsi="Arial" w:cs="Arial"/>
          <w:color w:val="000000"/>
          <w:lang w:val="es-ES"/>
        </w:rPr>
        <w:t xml:space="preserve">17,3%, </w:t>
      </w:r>
      <w:r w:rsidR="00D40DAF">
        <w:rPr>
          <w:rFonts w:ascii="Arial" w:hAnsi="Arial" w:cs="Arial"/>
          <w:color w:val="000000"/>
          <w:lang w:val="es-ES"/>
        </w:rPr>
        <w:t xml:space="preserve">extendiendo la brecha en US$ </w:t>
      </w:r>
      <w:r w:rsidR="004949CF">
        <w:rPr>
          <w:rFonts w:ascii="Arial" w:hAnsi="Arial" w:cs="Arial"/>
          <w:color w:val="000000"/>
          <w:lang w:val="es-ES"/>
        </w:rPr>
        <w:t xml:space="preserve">485 m. En </w:t>
      </w:r>
      <w:r w:rsidR="003D4D20">
        <w:rPr>
          <w:rFonts w:ascii="Arial" w:hAnsi="Arial" w:cs="Arial"/>
          <w:color w:val="000000"/>
          <w:lang w:val="es-ES"/>
        </w:rPr>
        <w:t>la balanza comercial de servicios</w:t>
      </w:r>
      <w:r w:rsidR="004949CF">
        <w:rPr>
          <w:rFonts w:ascii="Arial" w:hAnsi="Arial" w:cs="Arial"/>
          <w:color w:val="000000"/>
          <w:lang w:val="es-ES"/>
        </w:rPr>
        <w:t xml:space="preserve"> también </w:t>
      </w:r>
      <w:r w:rsidR="00AA2CDE">
        <w:rPr>
          <w:rFonts w:ascii="Arial" w:hAnsi="Arial" w:cs="Arial"/>
          <w:color w:val="000000"/>
          <w:lang w:val="es-ES"/>
        </w:rPr>
        <w:t>se repite</w:t>
      </w:r>
      <w:r w:rsidR="00FC5BAA">
        <w:rPr>
          <w:rFonts w:ascii="Arial" w:hAnsi="Arial" w:cs="Arial"/>
          <w:color w:val="000000"/>
          <w:lang w:val="es-ES"/>
        </w:rPr>
        <w:t xml:space="preserve"> el patrón observado en el caso de l</w:t>
      </w:r>
      <w:r w:rsidR="0051749D">
        <w:rPr>
          <w:rFonts w:ascii="Arial" w:hAnsi="Arial" w:cs="Arial"/>
          <w:color w:val="000000"/>
          <w:lang w:val="es-ES"/>
        </w:rPr>
        <w:t>os bienes,</w:t>
      </w:r>
      <w:r w:rsidR="003D4D20">
        <w:rPr>
          <w:rFonts w:ascii="Arial" w:hAnsi="Arial" w:cs="Arial"/>
          <w:color w:val="000000"/>
          <w:lang w:val="es-ES"/>
        </w:rPr>
        <w:t xml:space="preserve"> </w:t>
      </w:r>
      <w:r w:rsidR="0051749D">
        <w:rPr>
          <w:rFonts w:ascii="Arial" w:hAnsi="Arial" w:cs="Arial"/>
          <w:color w:val="000000"/>
          <w:lang w:val="es-ES"/>
        </w:rPr>
        <w:t xml:space="preserve">pues </w:t>
      </w:r>
      <w:r w:rsidR="003A380D">
        <w:rPr>
          <w:rFonts w:ascii="Arial" w:hAnsi="Arial" w:cs="Arial"/>
          <w:color w:val="000000"/>
          <w:lang w:val="es-ES"/>
        </w:rPr>
        <w:t>a pesar de que el comercio aumentó en doble vía,</w:t>
      </w:r>
      <w:r w:rsidR="00FC591C" w:rsidRPr="00FC591C">
        <w:rPr>
          <w:rFonts w:ascii="Arial" w:hAnsi="Arial" w:cs="Arial"/>
          <w:color w:val="000000"/>
          <w:lang w:val="es-ES"/>
        </w:rPr>
        <w:t xml:space="preserve"> </w:t>
      </w:r>
      <w:r w:rsidR="00FC591C">
        <w:rPr>
          <w:rFonts w:ascii="Arial" w:hAnsi="Arial" w:cs="Arial"/>
          <w:color w:val="000000"/>
          <w:lang w:val="es-ES"/>
        </w:rPr>
        <w:t>hubo un deterioro de US$ 444 m</w:t>
      </w:r>
      <w:r w:rsidR="00C55008">
        <w:rPr>
          <w:rFonts w:ascii="Arial" w:hAnsi="Arial" w:cs="Arial"/>
          <w:color w:val="000000"/>
          <w:lang w:val="es-ES"/>
        </w:rPr>
        <w:t xml:space="preserve"> en </w:t>
      </w:r>
      <w:r w:rsidR="00813904">
        <w:rPr>
          <w:rFonts w:ascii="Arial" w:hAnsi="Arial" w:cs="Arial"/>
          <w:color w:val="000000"/>
          <w:lang w:val="es-ES"/>
        </w:rPr>
        <w:t xml:space="preserve">el </w:t>
      </w:r>
      <w:r w:rsidR="00E73A7A">
        <w:rPr>
          <w:rFonts w:ascii="Arial" w:hAnsi="Arial" w:cs="Arial"/>
          <w:color w:val="000000"/>
          <w:lang w:val="es-ES"/>
        </w:rPr>
        <w:t xml:space="preserve">déficit de dicha cuenta, </w:t>
      </w:r>
      <w:r w:rsidR="000B709B">
        <w:rPr>
          <w:rFonts w:ascii="Arial" w:hAnsi="Arial" w:cs="Arial"/>
          <w:color w:val="000000"/>
          <w:lang w:val="es-ES"/>
        </w:rPr>
        <w:t>con avances importantes en las importaciones de servicios de transporte, viaje</w:t>
      </w:r>
      <w:r w:rsidR="005E1CDE">
        <w:rPr>
          <w:rFonts w:ascii="Arial" w:hAnsi="Arial" w:cs="Arial"/>
          <w:color w:val="000000"/>
          <w:lang w:val="es-ES"/>
        </w:rPr>
        <w:t>s</w:t>
      </w:r>
      <w:r w:rsidR="000B709B">
        <w:rPr>
          <w:rFonts w:ascii="Arial" w:hAnsi="Arial" w:cs="Arial"/>
          <w:color w:val="000000"/>
          <w:lang w:val="es-ES"/>
        </w:rPr>
        <w:t xml:space="preserve"> y financier</w:t>
      </w:r>
      <w:r w:rsidR="003A380D">
        <w:rPr>
          <w:rFonts w:ascii="Arial" w:hAnsi="Arial" w:cs="Arial"/>
          <w:color w:val="000000"/>
          <w:lang w:val="es-ES"/>
        </w:rPr>
        <w:t>os</w:t>
      </w:r>
      <w:r w:rsidR="005E1CDE">
        <w:rPr>
          <w:rFonts w:ascii="Arial" w:hAnsi="Arial" w:cs="Arial"/>
          <w:color w:val="000000"/>
          <w:lang w:val="es-ES"/>
        </w:rPr>
        <w:t>.</w:t>
      </w:r>
      <w:r w:rsidR="00FD48BC">
        <w:rPr>
          <w:rFonts w:ascii="Arial" w:hAnsi="Arial" w:cs="Arial"/>
          <w:color w:val="000000"/>
          <w:lang w:val="es-ES"/>
        </w:rPr>
        <w:t xml:space="preserve"> </w:t>
      </w:r>
      <w:r w:rsidR="006556B5">
        <w:rPr>
          <w:rFonts w:ascii="Arial" w:hAnsi="Arial" w:cs="Arial"/>
          <w:color w:val="000000"/>
          <w:lang w:val="es-ES"/>
        </w:rPr>
        <w:t xml:space="preserve">Para este periodo, sin embargo, las transferencias corrientes </w:t>
      </w:r>
      <w:r w:rsidR="00B349D9">
        <w:rPr>
          <w:rFonts w:ascii="Arial" w:hAnsi="Arial" w:cs="Arial"/>
          <w:color w:val="000000"/>
          <w:lang w:val="es-ES"/>
        </w:rPr>
        <w:t>no contribuyeron a alivianar el déficit</w:t>
      </w:r>
      <w:r w:rsidR="00854136">
        <w:rPr>
          <w:rFonts w:ascii="Arial" w:hAnsi="Arial" w:cs="Arial"/>
          <w:color w:val="000000"/>
          <w:lang w:val="es-ES"/>
        </w:rPr>
        <w:t xml:space="preserve">, </w:t>
      </w:r>
      <w:r w:rsidR="001B2BBB">
        <w:rPr>
          <w:rFonts w:ascii="Arial" w:hAnsi="Arial" w:cs="Arial"/>
          <w:color w:val="000000"/>
          <w:lang w:val="es-ES"/>
        </w:rPr>
        <w:t>cerrando el trimestre con un flujo inferior en US$ 20 m</w:t>
      </w:r>
      <w:r w:rsidR="003628F0">
        <w:rPr>
          <w:rFonts w:ascii="Arial" w:hAnsi="Arial" w:cs="Arial"/>
          <w:color w:val="000000"/>
          <w:lang w:val="es-ES"/>
        </w:rPr>
        <w:t xml:space="preserve">, </w:t>
      </w:r>
      <w:r w:rsidR="0091411C">
        <w:rPr>
          <w:rFonts w:ascii="Arial" w:hAnsi="Arial" w:cs="Arial"/>
          <w:color w:val="000000"/>
          <w:lang w:val="es-ES"/>
        </w:rPr>
        <w:t xml:space="preserve">soportado </w:t>
      </w:r>
      <w:r w:rsidR="00103746">
        <w:rPr>
          <w:rFonts w:ascii="Arial" w:hAnsi="Arial" w:cs="Arial"/>
          <w:color w:val="000000"/>
          <w:lang w:val="es-ES"/>
        </w:rPr>
        <w:t xml:space="preserve">en una caída tanto en </w:t>
      </w:r>
      <w:r w:rsidR="00323727">
        <w:rPr>
          <w:rFonts w:ascii="Arial" w:hAnsi="Arial" w:cs="Arial"/>
          <w:color w:val="000000"/>
          <w:lang w:val="es-ES"/>
        </w:rPr>
        <w:t xml:space="preserve">los </w:t>
      </w:r>
      <w:r w:rsidR="00103746">
        <w:rPr>
          <w:rFonts w:ascii="Arial" w:hAnsi="Arial" w:cs="Arial"/>
          <w:color w:val="000000"/>
          <w:lang w:val="es-ES"/>
        </w:rPr>
        <w:t xml:space="preserve">ingresos como </w:t>
      </w:r>
      <w:r w:rsidR="00A72500">
        <w:rPr>
          <w:rFonts w:ascii="Arial" w:hAnsi="Arial" w:cs="Arial"/>
          <w:color w:val="000000"/>
          <w:lang w:val="es-ES"/>
        </w:rPr>
        <w:t xml:space="preserve">en los </w:t>
      </w:r>
      <w:r w:rsidR="00103746">
        <w:rPr>
          <w:rFonts w:ascii="Arial" w:hAnsi="Arial" w:cs="Arial"/>
          <w:color w:val="000000"/>
          <w:lang w:val="es-ES"/>
        </w:rPr>
        <w:t xml:space="preserve">egresos </w:t>
      </w:r>
      <w:r w:rsidR="00DC684D">
        <w:rPr>
          <w:rFonts w:ascii="Arial" w:hAnsi="Arial" w:cs="Arial"/>
          <w:color w:val="000000"/>
          <w:lang w:val="es-ES"/>
        </w:rPr>
        <w:t>corrientes</w:t>
      </w:r>
      <w:r w:rsidR="00174AFC">
        <w:rPr>
          <w:rFonts w:ascii="Arial" w:hAnsi="Arial" w:cs="Arial"/>
          <w:color w:val="000000"/>
          <w:lang w:val="es-ES"/>
        </w:rPr>
        <w:t>.</w:t>
      </w:r>
      <w:r w:rsidR="00103746">
        <w:rPr>
          <w:rFonts w:ascii="Arial" w:hAnsi="Arial" w:cs="Arial"/>
          <w:color w:val="000000"/>
          <w:lang w:val="es-ES"/>
        </w:rPr>
        <w:t xml:space="preserve"> </w:t>
      </w:r>
    </w:p>
    <w:p w14:paraId="3C77E6F9" w14:textId="77777777" w:rsidR="00FB2CEF" w:rsidRDefault="00FB2CEF" w:rsidP="00CD0CAF">
      <w:pPr>
        <w:spacing w:line="276" w:lineRule="auto"/>
        <w:rPr>
          <w:rFonts w:ascii="Arial" w:hAnsi="Arial" w:cs="Arial"/>
          <w:color w:val="000000"/>
          <w:lang w:val="es-ES"/>
        </w:rPr>
      </w:pPr>
    </w:p>
    <w:p w14:paraId="090E9B4F" w14:textId="183F921F" w:rsidR="00FB2CEF" w:rsidRDefault="00FB2CEF" w:rsidP="00CD0CAF">
      <w:pPr>
        <w:spacing w:line="276" w:lineRule="auto"/>
        <w:rPr>
          <w:rFonts w:ascii="Arial" w:hAnsi="Arial" w:cs="Arial"/>
          <w:b/>
          <w:bCs/>
          <w:color w:val="000000"/>
          <w:sz w:val="22"/>
          <w:szCs w:val="22"/>
          <w:lang w:val="es-ES"/>
        </w:rPr>
      </w:pPr>
      <w:r>
        <w:rPr>
          <w:rFonts w:ascii="Arial" w:hAnsi="Arial" w:cs="Arial"/>
          <w:color w:val="000000"/>
          <w:lang w:val="es-ES"/>
        </w:rPr>
        <w:t>XXXXXX</w:t>
      </w:r>
    </w:p>
    <w:p w14:paraId="0985F717" w14:textId="23F87DDF" w:rsidR="00170CF1" w:rsidRDefault="00170CF1" w:rsidP="00170CF1">
      <w:pPr>
        <w:pStyle w:val="NormalWeb"/>
        <w:spacing w:before="240" w:beforeAutospacing="0" w:after="240" w:afterAutospacing="0" w:line="276" w:lineRule="auto"/>
        <w:rPr>
          <w:rFonts w:ascii="Arial" w:hAnsi="Arial" w:cs="Arial"/>
          <w:b/>
          <w:bCs/>
          <w:color w:val="000000"/>
          <w:sz w:val="22"/>
          <w:szCs w:val="22"/>
          <w:lang w:val="es-ES"/>
        </w:rPr>
      </w:pPr>
      <w:r w:rsidRPr="00E330B0">
        <w:rPr>
          <w:rFonts w:ascii="Arial" w:hAnsi="Arial" w:cs="Arial"/>
          <w:b/>
          <w:bCs/>
          <w:color w:val="000000"/>
          <w:sz w:val="22"/>
          <w:szCs w:val="22"/>
          <w:lang w:val="es-ES"/>
        </w:rPr>
        <w:t xml:space="preserve">Gráfico 2. </w:t>
      </w:r>
      <w:r w:rsidR="00556F53">
        <w:rPr>
          <w:rFonts w:ascii="Arial" w:hAnsi="Arial" w:cs="Arial"/>
          <w:b/>
          <w:bCs/>
          <w:color w:val="000000"/>
          <w:sz w:val="22"/>
          <w:szCs w:val="22"/>
          <w:lang w:val="es-ES"/>
        </w:rPr>
        <w:t xml:space="preserve">Balanza de Servicios </w:t>
      </w:r>
      <w:r w:rsidR="006A2AD6">
        <w:rPr>
          <w:rFonts w:ascii="Arial" w:hAnsi="Arial" w:cs="Arial"/>
          <w:b/>
          <w:bCs/>
          <w:color w:val="000000"/>
          <w:sz w:val="22"/>
          <w:szCs w:val="22"/>
          <w:lang w:val="es-ES"/>
        </w:rPr>
        <w:t>por Pares Regionales</w:t>
      </w:r>
    </w:p>
    <w:p w14:paraId="7364E8B2" w14:textId="37C34F05" w:rsidR="00170CF1" w:rsidRPr="00923172" w:rsidRDefault="00C9363B" w:rsidP="00170CF1">
      <w:pPr>
        <w:spacing w:line="276" w:lineRule="auto"/>
        <w:rPr>
          <w:rFonts w:ascii="Arial" w:hAnsi="Arial" w:cs="Arial"/>
          <w:b/>
          <w:bCs/>
          <w:color w:val="000000"/>
          <w:lang w:val="es-ES"/>
        </w:rPr>
      </w:pPr>
      <w:r>
        <w:rPr>
          <w:noProof/>
          <w14:ligatures w14:val="standardContextual"/>
        </w:rPr>
        <w:lastRenderedPageBreak/>
        <w:drawing>
          <wp:inline distT="0" distB="0" distL="0" distR="0" wp14:anchorId="5ABB5280" wp14:editId="639A2171">
            <wp:extent cx="5943600" cy="4312920"/>
            <wp:effectExtent l="0" t="0" r="0" b="11430"/>
            <wp:docPr id="3" name="Gráfico 3">
              <a:extLst xmlns:a="http://schemas.openxmlformats.org/drawingml/2006/main">
                <a:ext uri="{FF2B5EF4-FFF2-40B4-BE49-F238E27FC236}">
                  <a16:creationId xmlns:a16="http://schemas.microsoft.com/office/drawing/2014/main" id="{3BE4CBD8-02EE-2382-C8D9-EFC6E804F3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28E7B6A" w14:textId="4AB96518" w:rsidR="00CE455A" w:rsidRDefault="00170CF1" w:rsidP="00170CF1">
      <w:pPr>
        <w:pStyle w:val="NormalWeb"/>
        <w:spacing w:before="240" w:beforeAutospacing="0" w:after="240" w:afterAutospacing="0" w:line="276" w:lineRule="auto"/>
        <w:rPr>
          <w:rFonts w:ascii="Arial" w:hAnsi="Arial" w:cs="Arial"/>
          <w:color w:val="000000"/>
          <w:sz w:val="22"/>
          <w:szCs w:val="22"/>
          <w:lang w:val="es-ES"/>
        </w:rPr>
      </w:pPr>
      <w:r>
        <w:rPr>
          <w:rFonts w:ascii="Arial" w:hAnsi="Arial" w:cs="Arial"/>
          <w:b/>
          <w:bCs/>
          <w:color w:val="000000"/>
          <w:sz w:val="22"/>
          <w:szCs w:val="22"/>
          <w:lang w:val="es-ES"/>
        </w:rPr>
        <w:t xml:space="preserve">Fuente: </w:t>
      </w:r>
      <w:r w:rsidRPr="005E058A">
        <w:rPr>
          <w:rFonts w:ascii="Arial" w:hAnsi="Arial" w:cs="Arial"/>
          <w:color w:val="000000"/>
          <w:sz w:val="22"/>
          <w:szCs w:val="22"/>
          <w:lang w:val="es-ES"/>
        </w:rPr>
        <w:t>Elaboración propia</w:t>
      </w:r>
      <w:r>
        <w:rPr>
          <w:rFonts w:ascii="Arial" w:hAnsi="Arial" w:cs="Arial"/>
          <w:color w:val="000000"/>
          <w:sz w:val="22"/>
          <w:szCs w:val="22"/>
          <w:lang w:val="es-ES"/>
        </w:rPr>
        <w:t xml:space="preserve"> con datos del </w:t>
      </w:r>
      <w:r w:rsidR="006A2AD6">
        <w:rPr>
          <w:rFonts w:ascii="Arial" w:hAnsi="Arial" w:cs="Arial"/>
          <w:color w:val="000000"/>
          <w:sz w:val="22"/>
          <w:szCs w:val="22"/>
          <w:lang w:val="es-ES"/>
        </w:rPr>
        <w:t>XXXX</w:t>
      </w:r>
    </w:p>
    <w:p w14:paraId="2C725548" w14:textId="134629CD" w:rsidR="00CE455A" w:rsidRDefault="00463719" w:rsidP="00170CF1">
      <w:pPr>
        <w:pStyle w:val="NormalWeb"/>
        <w:spacing w:before="240" w:beforeAutospacing="0" w:after="240" w:afterAutospacing="0" w:line="276" w:lineRule="auto"/>
        <w:rPr>
          <w:rFonts w:ascii="Arial" w:hAnsi="Arial" w:cs="Arial"/>
          <w:color w:val="000000"/>
          <w:lang w:val="es-ES"/>
        </w:rPr>
      </w:pPr>
      <w:r w:rsidRPr="00922818">
        <w:rPr>
          <w:rFonts w:ascii="Arial" w:hAnsi="Arial" w:cs="Arial"/>
          <w:color w:val="000000"/>
          <w:lang w:val="es-ES"/>
        </w:rPr>
        <w:t>Ahora, desde una óptica semestral,</w:t>
      </w:r>
      <w:r w:rsidR="009E586B" w:rsidRPr="00922818">
        <w:rPr>
          <w:rFonts w:ascii="Arial" w:hAnsi="Arial" w:cs="Arial"/>
          <w:color w:val="000000"/>
          <w:lang w:val="es-ES"/>
        </w:rPr>
        <w:t xml:space="preserve"> la cuenta corriente alcanzó un déficit del 2,3% del PIB (US</w:t>
      </w:r>
      <w:r w:rsidR="002F6506" w:rsidRPr="00922818">
        <w:rPr>
          <w:rFonts w:ascii="Arial" w:hAnsi="Arial" w:cs="Arial"/>
          <w:color w:val="000000"/>
          <w:lang w:val="es-ES"/>
        </w:rPr>
        <w:t>$</w:t>
      </w:r>
      <w:r w:rsidR="00162F40" w:rsidRPr="00922818">
        <w:rPr>
          <w:rFonts w:ascii="Arial" w:hAnsi="Arial" w:cs="Arial"/>
          <w:color w:val="000000"/>
          <w:lang w:val="es-ES"/>
        </w:rPr>
        <w:t xml:space="preserve"> 5.981 m) </w:t>
      </w:r>
    </w:p>
    <w:p w14:paraId="77EAA961" w14:textId="77777777" w:rsidR="00922818" w:rsidRDefault="00922818" w:rsidP="00170CF1">
      <w:pPr>
        <w:pStyle w:val="NormalWeb"/>
        <w:spacing w:before="240" w:beforeAutospacing="0" w:after="240" w:afterAutospacing="0" w:line="276" w:lineRule="auto"/>
        <w:rPr>
          <w:rFonts w:ascii="Arial" w:hAnsi="Arial" w:cs="Arial"/>
          <w:color w:val="000000"/>
          <w:lang w:val="es-ES"/>
        </w:rPr>
      </w:pPr>
    </w:p>
    <w:p w14:paraId="0395A38C" w14:textId="77777777" w:rsidR="00922818" w:rsidRPr="00922818" w:rsidRDefault="00922818" w:rsidP="00170CF1">
      <w:pPr>
        <w:pStyle w:val="NormalWeb"/>
        <w:spacing w:before="240" w:beforeAutospacing="0" w:after="240" w:afterAutospacing="0" w:line="276" w:lineRule="auto"/>
        <w:rPr>
          <w:rFonts w:ascii="Arial" w:hAnsi="Arial" w:cs="Arial"/>
          <w:color w:val="000000"/>
          <w:lang w:val="es-ES"/>
        </w:rPr>
      </w:pPr>
    </w:p>
    <w:p w14:paraId="3A734B6C" w14:textId="77777777" w:rsidR="00CE455A" w:rsidRPr="00CE455A" w:rsidRDefault="00CE455A" w:rsidP="00170CF1">
      <w:pPr>
        <w:pStyle w:val="NormalWeb"/>
        <w:spacing w:before="240" w:beforeAutospacing="0" w:after="240" w:afterAutospacing="0" w:line="276" w:lineRule="auto"/>
        <w:rPr>
          <w:rFonts w:ascii="Arial" w:hAnsi="Arial" w:cs="Arial"/>
          <w:color w:val="000000"/>
          <w:sz w:val="22"/>
          <w:szCs w:val="22"/>
          <w:lang w:val="es-ES"/>
        </w:rPr>
      </w:pPr>
    </w:p>
    <w:p w14:paraId="4A48D702" w14:textId="09728E0E" w:rsidR="00BF2317" w:rsidRDefault="00BF2317" w:rsidP="00C93955">
      <w:pPr>
        <w:pStyle w:val="NormalWeb"/>
        <w:spacing w:before="240" w:beforeAutospacing="0" w:after="240" w:afterAutospacing="0" w:line="276" w:lineRule="auto"/>
        <w:rPr>
          <w:rFonts w:ascii="Arial" w:hAnsi="Arial" w:cs="Arial"/>
          <w:b/>
          <w:bCs/>
          <w:sz w:val="22"/>
          <w:szCs w:val="22"/>
          <w:lang w:val="es-ES"/>
        </w:rPr>
      </w:pPr>
      <w:r w:rsidRPr="00BF2317">
        <w:rPr>
          <w:rFonts w:ascii="Arial" w:hAnsi="Arial" w:cs="Arial"/>
          <w:b/>
          <w:bCs/>
          <w:sz w:val="22"/>
          <w:szCs w:val="22"/>
          <w:lang w:val="es-ES"/>
        </w:rPr>
        <w:t>Cuenta Corriente al cierre del primer semestre de 2025</w:t>
      </w:r>
    </w:p>
    <w:p w14:paraId="7BDB8CBE" w14:textId="5500379F" w:rsidR="00CE455A" w:rsidRDefault="00CD0CAF" w:rsidP="00CD0CAF">
      <w:pPr>
        <w:spacing w:line="276" w:lineRule="auto"/>
        <w:rPr>
          <w:rFonts w:ascii="Arial" w:hAnsi="Arial" w:cs="Arial"/>
          <w:color w:val="000000"/>
          <w:lang w:val="es-ES"/>
        </w:rPr>
      </w:pPr>
      <w:r>
        <w:rPr>
          <w:rFonts w:ascii="Arial" w:hAnsi="Arial" w:cs="Arial"/>
          <w:color w:val="000000"/>
          <w:lang w:val="es-ES"/>
        </w:rPr>
        <w:t xml:space="preserve">que encontró en la demanda interna y en los primeros signos de apreciación una fuente dinamizadora de las importaciones, con el estas últimas soportadas en </w:t>
      </w:r>
    </w:p>
    <w:p w14:paraId="57893203" w14:textId="77777777" w:rsidR="00CD0CAF" w:rsidRPr="00CD0CAF" w:rsidRDefault="00CD0CAF" w:rsidP="00CD0CAF">
      <w:pPr>
        <w:spacing w:line="276" w:lineRule="auto"/>
        <w:rPr>
          <w:rFonts w:ascii="Arial" w:hAnsi="Arial" w:cs="Arial"/>
          <w:color w:val="000000"/>
          <w:lang w:val="es-ES"/>
        </w:rPr>
      </w:pPr>
    </w:p>
    <w:p w14:paraId="5542D3C4" w14:textId="391C781A" w:rsidR="0843B3CC" w:rsidRDefault="00381DC1" w:rsidP="0843B3CC">
      <w:pPr>
        <w:spacing w:before="240" w:line="276" w:lineRule="auto"/>
        <w:ind w:right="4"/>
        <w:jc w:val="both"/>
        <w:rPr>
          <w:rFonts w:ascii="Arial" w:eastAsia="Arial" w:hAnsi="Arial" w:cs="Arial"/>
          <w:b/>
          <w:bCs/>
          <w:sz w:val="22"/>
          <w:szCs w:val="22"/>
          <w:lang w:val="es-ES"/>
        </w:rPr>
      </w:pPr>
      <w:r w:rsidRPr="00E330B0">
        <w:rPr>
          <w:rFonts w:ascii="Arial" w:eastAsia="Arial" w:hAnsi="Arial" w:cs="Arial"/>
          <w:b/>
          <w:spacing w:val="2"/>
          <w:position w:val="-1"/>
          <w:sz w:val="22"/>
          <w:szCs w:val="22"/>
          <w:lang w:val="es-ES"/>
        </w:rPr>
        <w:t>T</w:t>
      </w:r>
      <w:r w:rsidRPr="00E330B0">
        <w:rPr>
          <w:rFonts w:ascii="Arial" w:eastAsia="Arial" w:hAnsi="Arial" w:cs="Arial"/>
          <w:b/>
          <w:position w:val="-1"/>
          <w:sz w:val="22"/>
          <w:szCs w:val="22"/>
          <w:lang w:val="es-ES"/>
        </w:rPr>
        <w:t>a</w:t>
      </w:r>
      <w:r w:rsidRPr="00E330B0">
        <w:rPr>
          <w:rFonts w:ascii="Arial" w:eastAsia="Arial" w:hAnsi="Arial" w:cs="Arial"/>
          <w:b/>
          <w:spacing w:val="-3"/>
          <w:position w:val="-1"/>
          <w:sz w:val="22"/>
          <w:szCs w:val="22"/>
          <w:lang w:val="es-ES"/>
        </w:rPr>
        <w:t>b</w:t>
      </w:r>
      <w:r w:rsidRPr="00E330B0">
        <w:rPr>
          <w:rFonts w:ascii="Arial" w:eastAsia="Arial" w:hAnsi="Arial" w:cs="Arial"/>
          <w:b/>
          <w:spacing w:val="1"/>
          <w:position w:val="-1"/>
          <w:sz w:val="22"/>
          <w:szCs w:val="22"/>
          <w:lang w:val="es-ES"/>
        </w:rPr>
        <w:t>l</w:t>
      </w:r>
      <w:r w:rsidRPr="00E330B0">
        <w:rPr>
          <w:rFonts w:ascii="Arial" w:eastAsia="Arial" w:hAnsi="Arial" w:cs="Arial"/>
          <w:b/>
          <w:position w:val="-1"/>
          <w:sz w:val="22"/>
          <w:szCs w:val="22"/>
          <w:lang w:val="es-ES"/>
        </w:rPr>
        <w:t>a</w:t>
      </w:r>
      <w:r w:rsidRPr="00E330B0">
        <w:rPr>
          <w:rFonts w:ascii="Arial" w:eastAsia="Arial" w:hAnsi="Arial" w:cs="Arial"/>
          <w:b/>
          <w:spacing w:val="1"/>
          <w:position w:val="-1"/>
          <w:sz w:val="22"/>
          <w:szCs w:val="22"/>
          <w:lang w:val="es-ES"/>
        </w:rPr>
        <w:t xml:space="preserve"> </w:t>
      </w:r>
      <w:r w:rsidRPr="00E330B0">
        <w:rPr>
          <w:rFonts w:ascii="Arial" w:eastAsia="Arial" w:hAnsi="Arial" w:cs="Arial"/>
          <w:b/>
          <w:spacing w:val="-3"/>
          <w:position w:val="-1"/>
          <w:sz w:val="22"/>
          <w:szCs w:val="22"/>
          <w:lang w:val="es-ES"/>
        </w:rPr>
        <w:t>1</w:t>
      </w:r>
      <w:r w:rsidRPr="00E330B0">
        <w:rPr>
          <w:rFonts w:ascii="Arial" w:eastAsia="Arial" w:hAnsi="Arial" w:cs="Arial"/>
          <w:b/>
          <w:position w:val="-1"/>
          <w:sz w:val="22"/>
          <w:szCs w:val="22"/>
          <w:lang w:val="es-ES"/>
        </w:rPr>
        <w:t>.</w:t>
      </w:r>
      <w:r w:rsidRPr="00E330B0">
        <w:rPr>
          <w:rFonts w:ascii="Arial" w:eastAsia="Arial" w:hAnsi="Arial" w:cs="Arial"/>
          <w:b/>
          <w:spacing w:val="2"/>
          <w:position w:val="-1"/>
          <w:sz w:val="22"/>
          <w:szCs w:val="22"/>
          <w:lang w:val="es-ES"/>
        </w:rPr>
        <w:t xml:space="preserve"> </w:t>
      </w:r>
      <w:r w:rsidRPr="00E330B0">
        <w:rPr>
          <w:rFonts w:ascii="Arial" w:eastAsia="Arial" w:hAnsi="Arial" w:cs="Arial"/>
          <w:b/>
          <w:spacing w:val="-1"/>
          <w:position w:val="-1"/>
          <w:sz w:val="22"/>
          <w:szCs w:val="22"/>
          <w:lang w:val="es-ES"/>
        </w:rPr>
        <w:t>C</w:t>
      </w:r>
      <w:r w:rsidRPr="00E330B0">
        <w:rPr>
          <w:rFonts w:ascii="Arial" w:eastAsia="Arial" w:hAnsi="Arial" w:cs="Arial"/>
          <w:b/>
          <w:position w:val="-1"/>
          <w:sz w:val="22"/>
          <w:szCs w:val="22"/>
          <w:lang w:val="es-ES"/>
        </w:rPr>
        <w:t>u</w:t>
      </w:r>
      <w:r w:rsidRPr="00E330B0">
        <w:rPr>
          <w:rFonts w:ascii="Arial" w:eastAsia="Arial" w:hAnsi="Arial" w:cs="Arial"/>
          <w:b/>
          <w:spacing w:val="-1"/>
          <w:position w:val="-1"/>
          <w:sz w:val="22"/>
          <w:szCs w:val="22"/>
          <w:lang w:val="es-ES"/>
        </w:rPr>
        <w:t>e</w:t>
      </w:r>
      <w:r w:rsidRPr="00E330B0">
        <w:rPr>
          <w:rFonts w:ascii="Arial" w:eastAsia="Arial" w:hAnsi="Arial" w:cs="Arial"/>
          <w:b/>
          <w:position w:val="-1"/>
          <w:sz w:val="22"/>
          <w:szCs w:val="22"/>
          <w:lang w:val="es-ES"/>
        </w:rPr>
        <w:t>nta</w:t>
      </w:r>
      <w:r w:rsidRPr="00E330B0">
        <w:rPr>
          <w:rFonts w:ascii="Arial" w:eastAsia="Arial" w:hAnsi="Arial" w:cs="Arial"/>
          <w:b/>
          <w:spacing w:val="-1"/>
          <w:position w:val="-1"/>
          <w:sz w:val="22"/>
          <w:szCs w:val="22"/>
          <w:lang w:val="es-ES"/>
        </w:rPr>
        <w:t xml:space="preserve"> C</w:t>
      </w:r>
      <w:r w:rsidRPr="00E330B0">
        <w:rPr>
          <w:rFonts w:ascii="Arial" w:eastAsia="Arial" w:hAnsi="Arial" w:cs="Arial"/>
          <w:b/>
          <w:position w:val="-1"/>
          <w:sz w:val="22"/>
          <w:szCs w:val="22"/>
          <w:lang w:val="es-ES"/>
        </w:rPr>
        <w:t>or</w:t>
      </w:r>
      <w:r w:rsidRPr="00E330B0">
        <w:rPr>
          <w:rFonts w:ascii="Arial" w:eastAsia="Arial" w:hAnsi="Arial" w:cs="Arial"/>
          <w:b/>
          <w:spacing w:val="-2"/>
          <w:position w:val="-1"/>
          <w:sz w:val="22"/>
          <w:szCs w:val="22"/>
          <w:lang w:val="es-ES"/>
        </w:rPr>
        <w:t>r</w:t>
      </w:r>
      <w:r w:rsidRPr="00E330B0">
        <w:rPr>
          <w:rFonts w:ascii="Arial" w:eastAsia="Arial" w:hAnsi="Arial" w:cs="Arial"/>
          <w:b/>
          <w:spacing w:val="1"/>
          <w:position w:val="-1"/>
          <w:sz w:val="22"/>
          <w:szCs w:val="22"/>
          <w:lang w:val="es-ES"/>
        </w:rPr>
        <w:t>i</w:t>
      </w:r>
      <w:r w:rsidRPr="00E330B0">
        <w:rPr>
          <w:rFonts w:ascii="Arial" w:eastAsia="Arial" w:hAnsi="Arial" w:cs="Arial"/>
          <w:b/>
          <w:spacing w:val="-3"/>
          <w:position w:val="-1"/>
          <w:sz w:val="22"/>
          <w:szCs w:val="22"/>
          <w:lang w:val="es-ES"/>
        </w:rPr>
        <w:t>e</w:t>
      </w:r>
      <w:r w:rsidRPr="00E330B0">
        <w:rPr>
          <w:rFonts w:ascii="Arial" w:eastAsia="Arial" w:hAnsi="Arial" w:cs="Arial"/>
          <w:b/>
          <w:position w:val="-1"/>
          <w:sz w:val="22"/>
          <w:szCs w:val="22"/>
          <w:lang w:val="es-ES"/>
        </w:rPr>
        <w:t>nte</w:t>
      </w:r>
      <w:r w:rsidRPr="00E330B0">
        <w:rPr>
          <w:rFonts w:ascii="Arial" w:eastAsia="Arial" w:hAnsi="Arial" w:cs="Arial"/>
          <w:b/>
          <w:spacing w:val="3"/>
          <w:position w:val="-1"/>
          <w:sz w:val="22"/>
          <w:szCs w:val="22"/>
          <w:lang w:val="es-ES"/>
        </w:rPr>
        <w:t xml:space="preserve"> </w:t>
      </w:r>
      <w:r w:rsidRPr="00E330B0">
        <w:rPr>
          <w:rFonts w:ascii="Arial" w:eastAsia="Arial" w:hAnsi="Arial" w:cs="Arial"/>
          <w:b/>
          <w:spacing w:val="-2"/>
          <w:position w:val="-1"/>
          <w:sz w:val="22"/>
          <w:szCs w:val="22"/>
          <w:lang w:val="es-ES"/>
        </w:rPr>
        <w:t xml:space="preserve">semestral </w:t>
      </w:r>
      <w:r w:rsidRPr="00E330B0">
        <w:rPr>
          <w:rFonts w:ascii="Arial" w:eastAsia="Arial" w:hAnsi="Arial" w:cs="Arial"/>
          <w:b/>
          <w:spacing w:val="2"/>
          <w:position w:val="-1"/>
          <w:sz w:val="22"/>
          <w:szCs w:val="22"/>
          <w:lang w:val="es-ES"/>
        </w:rPr>
        <w:t>S</w:t>
      </w:r>
      <w:r w:rsidR="00CE455A">
        <w:rPr>
          <w:rFonts w:ascii="Arial" w:eastAsia="Arial" w:hAnsi="Arial" w:cs="Arial"/>
          <w:b/>
          <w:spacing w:val="2"/>
          <w:position w:val="-1"/>
          <w:sz w:val="22"/>
          <w:szCs w:val="22"/>
          <w:lang w:val="es-ES"/>
        </w:rPr>
        <w:t>2</w:t>
      </w:r>
      <w:r w:rsidRPr="00E330B0">
        <w:rPr>
          <w:rFonts w:ascii="Arial" w:eastAsia="Arial" w:hAnsi="Arial" w:cs="Arial"/>
          <w:b/>
          <w:spacing w:val="1"/>
          <w:position w:val="-1"/>
          <w:sz w:val="22"/>
          <w:szCs w:val="22"/>
          <w:lang w:val="es-ES"/>
        </w:rPr>
        <w:t xml:space="preserve"> </w:t>
      </w:r>
      <w:r w:rsidRPr="00E330B0">
        <w:rPr>
          <w:rFonts w:ascii="Arial" w:eastAsia="Arial" w:hAnsi="Arial" w:cs="Arial"/>
          <w:b/>
          <w:position w:val="-1"/>
          <w:sz w:val="22"/>
          <w:szCs w:val="22"/>
          <w:lang w:val="es-ES"/>
        </w:rPr>
        <w:t>202</w:t>
      </w:r>
      <w:r w:rsidR="00CE455A">
        <w:rPr>
          <w:rFonts w:ascii="Arial" w:eastAsia="Arial" w:hAnsi="Arial" w:cs="Arial"/>
          <w:b/>
          <w:position w:val="-1"/>
          <w:sz w:val="22"/>
          <w:szCs w:val="22"/>
          <w:lang w:val="es-ES"/>
        </w:rPr>
        <w:t>5</w:t>
      </w:r>
      <w:r w:rsidRPr="00E330B0">
        <w:rPr>
          <w:rFonts w:ascii="Arial" w:eastAsia="Arial" w:hAnsi="Arial" w:cs="Arial"/>
          <w:b/>
          <w:spacing w:val="-1"/>
          <w:position w:val="-1"/>
          <w:sz w:val="22"/>
          <w:szCs w:val="22"/>
          <w:lang w:val="es-ES"/>
        </w:rPr>
        <w:t xml:space="preserve"> </w:t>
      </w:r>
      <w:r w:rsidRPr="00E330B0">
        <w:rPr>
          <w:rFonts w:ascii="Arial" w:eastAsia="Arial" w:hAnsi="Arial" w:cs="Arial"/>
          <w:b/>
          <w:position w:val="-1"/>
          <w:sz w:val="22"/>
          <w:szCs w:val="22"/>
          <w:lang w:val="es-ES"/>
        </w:rPr>
        <w:t>–</w:t>
      </w:r>
      <w:r w:rsidRPr="00E330B0">
        <w:rPr>
          <w:rFonts w:ascii="Arial" w:eastAsia="Arial" w:hAnsi="Arial" w:cs="Arial"/>
          <w:b/>
          <w:spacing w:val="-4"/>
          <w:position w:val="-1"/>
          <w:sz w:val="22"/>
          <w:szCs w:val="22"/>
          <w:lang w:val="es-ES"/>
        </w:rPr>
        <w:t xml:space="preserve"> </w:t>
      </w:r>
      <w:r w:rsidRPr="00E330B0">
        <w:rPr>
          <w:rFonts w:ascii="Arial" w:eastAsia="Arial" w:hAnsi="Arial" w:cs="Arial"/>
          <w:b/>
          <w:spacing w:val="2"/>
          <w:position w:val="-1"/>
          <w:sz w:val="22"/>
          <w:szCs w:val="22"/>
          <w:lang w:val="es-ES"/>
        </w:rPr>
        <w:t>S2</w:t>
      </w:r>
      <w:r w:rsidRPr="00E330B0">
        <w:rPr>
          <w:rFonts w:ascii="Arial" w:eastAsia="Arial" w:hAnsi="Arial" w:cs="Arial"/>
          <w:b/>
          <w:spacing w:val="1"/>
          <w:position w:val="-1"/>
          <w:sz w:val="22"/>
          <w:szCs w:val="22"/>
          <w:lang w:val="es-ES"/>
        </w:rPr>
        <w:t xml:space="preserve"> </w:t>
      </w:r>
      <w:r w:rsidRPr="00E330B0">
        <w:rPr>
          <w:rFonts w:ascii="Arial" w:eastAsia="Arial" w:hAnsi="Arial" w:cs="Arial"/>
          <w:b/>
          <w:position w:val="-1"/>
          <w:sz w:val="22"/>
          <w:szCs w:val="22"/>
          <w:lang w:val="es-ES"/>
        </w:rPr>
        <w:t>202</w:t>
      </w:r>
      <w:r w:rsidR="00CE455A">
        <w:rPr>
          <w:rFonts w:ascii="Arial" w:eastAsia="Arial" w:hAnsi="Arial" w:cs="Arial"/>
          <w:b/>
          <w:position w:val="-1"/>
          <w:sz w:val="22"/>
          <w:szCs w:val="22"/>
          <w:lang w:val="es-ES"/>
        </w:rPr>
        <w:t>6</w:t>
      </w:r>
      <w:r w:rsidRPr="00E330B0">
        <w:rPr>
          <w:rFonts w:ascii="Arial" w:eastAsia="Arial" w:hAnsi="Arial" w:cs="Arial"/>
          <w:b/>
          <w:spacing w:val="-1"/>
          <w:position w:val="-1"/>
          <w:sz w:val="22"/>
          <w:szCs w:val="22"/>
          <w:lang w:val="es-ES"/>
        </w:rPr>
        <w:t xml:space="preserve"> </w:t>
      </w:r>
      <w:r w:rsidRPr="00E330B0">
        <w:rPr>
          <w:rFonts w:ascii="Arial" w:eastAsia="Arial" w:hAnsi="Arial" w:cs="Arial"/>
          <w:b/>
          <w:spacing w:val="-2"/>
          <w:position w:val="-1"/>
          <w:sz w:val="22"/>
          <w:szCs w:val="22"/>
          <w:lang w:val="es-ES"/>
        </w:rPr>
        <w:t>(</w:t>
      </w:r>
      <w:r w:rsidRPr="00E330B0">
        <w:rPr>
          <w:rFonts w:ascii="Arial" w:eastAsia="Arial" w:hAnsi="Arial" w:cs="Arial"/>
          <w:b/>
          <w:position w:val="-1"/>
          <w:sz w:val="22"/>
          <w:szCs w:val="22"/>
          <w:lang w:val="es-ES"/>
        </w:rPr>
        <w:t>m</w:t>
      </w:r>
      <w:r w:rsidRPr="00E330B0">
        <w:rPr>
          <w:rFonts w:ascii="Arial" w:eastAsia="Arial" w:hAnsi="Arial" w:cs="Arial"/>
          <w:b/>
          <w:spacing w:val="-1"/>
          <w:position w:val="-1"/>
          <w:sz w:val="22"/>
          <w:szCs w:val="22"/>
          <w:lang w:val="es-ES"/>
        </w:rPr>
        <w:t>i</w:t>
      </w:r>
      <w:r w:rsidRPr="00E330B0">
        <w:rPr>
          <w:rFonts w:ascii="Arial" w:eastAsia="Arial" w:hAnsi="Arial" w:cs="Arial"/>
          <w:b/>
          <w:spacing w:val="1"/>
          <w:position w:val="-1"/>
          <w:sz w:val="22"/>
          <w:szCs w:val="22"/>
          <w:lang w:val="es-ES"/>
        </w:rPr>
        <w:t>ll</w:t>
      </w:r>
      <w:r w:rsidRPr="00E330B0">
        <w:rPr>
          <w:rFonts w:ascii="Arial" w:eastAsia="Arial" w:hAnsi="Arial" w:cs="Arial"/>
          <w:b/>
          <w:position w:val="-1"/>
          <w:sz w:val="22"/>
          <w:szCs w:val="22"/>
          <w:lang w:val="es-ES"/>
        </w:rPr>
        <w:t>o</w:t>
      </w:r>
      <w:r w:rsidRPr="00E330B0">
        <w:rPr>
          <w:rFonts w:ascii="Arial" w:eastAsia="Arial" w:hAnsi="Arial" w:cs="Arial"/>
          <w:b/>
          <w:spacing w:val="-1"/>
          <w:position w:val="-1"/>
          <w:sz w:val="22"/>
          <w:szCs w:val="22"/>
          <w:lang w:val="es-ES"/>
        </w:rPr>
        <w:t>n</w:t>
      </w:r>
      <w:r w:rsidRPr="00E330B0">
        <w:rPr>
          <w:rFonts w:ascii="Arial" w:eastAsia="Arial" w:hAnsi="Arial" w:cs="Arial"/>
          <w:b/>
          <w:position w:val="-1"/>
          <w:sz w:val="22"/>
          <w:szCs w:val="22"/>
          <w:lang w:val="es-ES"/>
        </w:rPr>
        <w:t>es</w:t>
      </w:r>
      <w:r w:rsidRPr="00E330B0">
        <w:rPr>
          <w:rFonts w:ascii="Arial" w:eastAsia="Arial" w:hAnsi="Arial" w:cs="Arial"/>
          <w:b/>
          <w:spacing w:val="-2"/>
          <w:position w:val="-1"/>
          <w:sz w:val="22"/>
          <w:szCs w:val="22"/>
          <w:lang w:val="es-ES"/>
        </w:rPr>
        <w:t xml:space="preserve"> </w:t>
      </w:r>
      <w:r w:rsidRPr="00E330B0">
        <w:rPr>
          <w:rFonts w:ascii="Arial" w:eastAsia="Arial" w:hAnsi="Arial" w:cs="Arial"/>
          <w:b/>
          <w:position w:val="-1"/>
          <w:sz w:val="22"/>
          <w:szCs w:val="22"/>
          <w:lang w:val="es-ES"/>
        </w:rPr>
        <w:t xml:space="preserve">de </w:t>
      </w:r>
      <w:r w:rsidRPr="00E330B0">
        <w:rPr>
          <w:rFonts w:ascii="Arial" w:eastAsia="Arial" w:hAnsi="Arial" w:cs="Arial"/>
          <w:b/>
          <w:spacing w:val="-3"/>
          <w:position w:val="-1"/>
          <w:sz w:val="22"/>
          <w:szCs w:val="22"/>
          <w:lang w:val="es-ES"/>
        </w:rPr>
        <w:t>d</w:t>
      </w:r>
      <w:r w:rsidRPr="00E330B0">
        <w:rPr>
          <w:rFonts w:ascii="Arial" w:eastAsia="Arial" w:hAnsi="Arial" w:cs="Arial"/>
          <w:b/>
          <w:position w:val="-1"/>
          <w:sz w:val="22"/>
          <w:szCs w:val="22"/>
          <w:lang w:val="es-ES"/>
        </w:rPr>
        <w:t>ólares)</w:t>
      </w:r>
    </w:p>
    <w:tbl>
      <w:tblPr>
        <w:tblW w:w="9555" w:type="dxa"/>
        <w:tblCellMar>
          <w:left w:w="0" w:type="dxa"/>
          <w:right w:w="0" w:type="dxa"/>
        </w:tblCellMar>
        <w:tblLook w:val="01E0" w:firstRow="1" w:lastRow="1" w:firstColumn="1" w:lastColumn="1" w:noHBand="0" w:noVBand="0"/>
      </w:tblPr>
      <w:tblGrid>
        <w:gridCol w:w="5385"/>
        <w:gridCol w:w="1245"/>
        <w:gridCol w:w="1369"/>
        <w:gridCol w:w="1556"/>
      </w:tblGrid>
      <w:tr w:rsidR="00381DC1" w:rsidRPr="00B33D70" w14:paraId="2FFC547C" w14:textId="77777777" w:rsidTr="0843B3CC">
        <w:trPr>
          <w:trHeight w:hRule="exact" w:val="308"/>
        </w:trPr>
        <w:tc>
          <w:tcPr>
            <w:tcW w:w="5385" w:type="dxa"/>
            <w:tcBorders>
              <w:top w:val="single" w:sz="8" w:space="0" w:color="000000" w:themeColor="text1"/>
              <w:left w:val="single" w:sz="8" w:space="0" w:color="000000" w:themeColor="text1"/>
              <w:bottom w:val="single" w:sz="6" w:space="0" w:color="000000" w:themeColor="text1"/>
              <w:right w:val="single" w:sz="8" w:space="0" w:color="000000" w:themeColor="text1"/>
            </w:tcBorders>
            <w:hideMark/>
          </w:tcPr>
          <w:p w14:paraId="5328153F" w14:textId="77777777" w:rsidR="00381DC1" w:rsidRPr="000A1E33" w:rsidRDefault="00381DC1">
            <w:pPr>
              <w:spacing w:before="23" w:line="276" w:lineRule="auto"/>
              <w:ind w:right="78" w:firstLine="25"/>
              <w:jc w:val="center"/>
              <w:rPr>
                <w:rFonts w:ascii="Arial" w:eastAsia="Arial" w:hAnsi="Arial" w:cs="Arial"/>
                <w:sz w:val="22"/>
                <w:szCs w:val="22"/>
                <w:lang w:val="es-ES"/>
              </w:rPr>
            </w:pPr>
            <w:r w:rsidRPr="000A1E33">
              <w:rPr>
                <w:rFonts w:ascii="Arial" w:hAnsi="Arial" w:cs="Arial"/>
                <w:b/>
                <w:bCs/>
                <w:color w:val="000000"/>
                <w:sz w:val="22"/>
                <w:szCs w:val="22"/>
                <w:lang w:val="es-ES"/>
              </w:rPr>
              <w:t>Periodo</w:t>
            </w:r>
          </w:p>
        </w:tc>
        <w:tc>
          <w:tcPr>
            <w:tcW w:w="1245" w:type="dxa"/>
            <w:tcBorders>
              <w:top w:val="single" w:sz="8"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43C402BB" w14:textId="39CF6DA3" w:rsidR="00381DC1" w:rsidRPr="000A1E33" w:rsidRDefault="00381DC1">
            <w:pPr>
              <w:spacing w:before="47" w:line="276" w:lineRule="auto"/>
              <w:jc w:val="center"/>
              <w:rPr>
                <w:rFonts w:ascii="Arial" w:eastAsia="Arial" w:hAnsi="Arial" w:cs="Arial"/>
                <w:sz w:val="22"/>
                <w:szCs w:val="22"/>
              </w:rPr>
            </w:pPr>
            <w:r w:rsidRPr="0843B3CC">
              <w:rPr>
                <w:rFonts w:ascii="Arial" w:hAnsi="Arial" w:cs="Arial"/>
                <w:b/>
                <w:bCs/>
                <w:color w:val="000000" w:themeColor="text1"/>
                <w:sz w:val="22"/>
                <w:szCs w:val="22"/>
              </w:rPr>
              <w:t>S1 202</w:t>
            </w:r>
            <w:r w:rsidR="1777BF30" w:rsidRPr="0843B3CC">
              <w:rPr>
                <w:rFonts w:ascii="Arial" w:hAnsi="Arial" w:cs="Arial"/>
                <w:b/>
                <w:bCs/>
                <w:color w:val="000000" w:themeColor="text1"/>
                <w:sz w:val="22"/>
                <w:szCs w:val="22"/>
              </w:rPr>
              <w:t>5</w:t>
            </w:r>
            <w:r w:rsidRPr="0843B3CC">
              <w:rPr>
                <w:rFonts w:ascii="Arial" w:hAnsi="Arial" w:cs="Arial"/>
                <w:b/>
                <w:bCs/>
                <w:color w:val="000000" w:themeColor="text1"/>
                <w:sz w:val="22"/>
                <w:szCs w:val="22"/>
              </w:rPr>
              <w:t xml:space="preserve"> (p)</w:t>
            </w:r>
          </w:p>
        </w:tc>
        <w:tc>
          <w:tcPr>
            <w:tcW w:w="1369" w:type="dxa"/>
            <w:tcBorders>
              <w:top w:val="single" w:sz="8"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51A9888A" w14:textId="5A5C16DB" w:rsidR="00381DC1" w:rsidRPr="000A1E33" w:rsidRDefault="00381DC1">
            <w:pPr>
              <w:spacing w:before="47" w:line="276" w:lineRule="auto"/>
              <w:jc w:val="center"/>
              <w:rPr>
                <w:rFonts w:ascii="Arial" w:eastAsia="Arial" w:hAnsi="Arial" w:cs="Arial"/>
                <w:sz w:val="22"/>
                <w:szCs w:val="22"/>
              </w:rPr>
            </w:pPr>
            <w:r w:rsidRPr="0843B3CC">
              <w:rPr>
                <w:rFonts w:ascii="Arial" w:hAnsi="Arial" w:cs="Arial"/>
                <w:b/>
                <w:bCs/>
                <w:color w:val="000000" w:themeColor="text1"/>
                <w:sz w:val="22"/>
                <w:szCs w:val="22"/>
              </w:rPr>
              <w:t>S1 202</w:t>
            </w:r>
            <w:r w:rsidR="3363CDB7" w:rsidRPr="0843B3CC">
              <w:rPr>
                <w:rFonts w:ascii="Arial" w:hAnsi="Arial" w:cs="Arial"/>
                <w:b/>
                <w:bCs/>
                <w:color w:val="000000" w:themeColor="text1"/>
                <w:sz w:val="22"/>
                <w:szCs w:val="22"/>
              </w:rPr>
              <w:t>6</w:t>
            </w:r>
            <w:r w:rsidRPr="0843B3CC">
              <w:rPr>
                <w:rFonts w:ascii="Arial" w:hAnsi="Arial" w:cs="Arial"/>
                <w:b/>
                <w:bCs/>
                <w:color w:val="000000" w:themeColor="text1"/>
                <w:sz w:val="22"/>
                <w:szCs w:val="22"/>
              </w:rPr>
              <w:t xml:space="preserve"> (pr)</w:t>
            </w:r>
          </w:p>
        </w:tc>
        <w:tc>
          <w:tcPr>
            <w:tcW w:w="1556" w:type="dxa"/>
            <w:tcBorders>
              <w:top w:val="single" w:sz="8"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6FE7F058" w14:textId="77777777" w:rsidR="00381DC1" w:rsidRPr="000A1E33" w:rsidRDefault="00381DC1">
            <w:pPr>
              <w:spacing w:before="47" w:line="276" w:lineRule="auto"/>
              <w:ind w:left="46" w:right="-11" w:firstLine="5"/>
              <w:rPr>
                <w:rFonts w:ascii="Arial" w:eastAsia="Arial" w:hAnsi="Arial" w:cs="Arial"/>
                <w:b/>
                <w:spacing w:val="2"/>
                <w:position w:val="-1"/>
                <w:sz w:val="22"/>
                <w:szCs w:val="22"/>
              </w:rPr>
            </w:pPr>
            <w:r w:rsidRPr="000A1E33">
              <w:rPr>
                <w:rFonts w:ascii="Arial" w:hAnsi="Arial" w:cs="Arial"/>
                <w:b/>
                <w:bCs/>
                <w:color w:val="000000"/>
                <w:sz w:val="22"/>
                <w:szCs w:val="22"/>
              </w:rPr>
              <w:t>Variación</w:t>
            </w:r>
            <w:r>
              <w:rPr>
                <w:rFonts w:ascii="Arial" w:hAnsi="Arial" w:cs="Arial"/>
                <w:b/>
                <w:bCs/>
                <w:color w:val="000000"/>
                <w:sz w:val="22"/>
                <w:szCs w:val="22"/>
              </w:rPr>
              <w:t xml:space="preserve"> </w:t>
            </w:r>
            <w:r w:rsidRPr="000A1E33">
              <w:rPr>
                <w:rFonts w:ascii="Arial" w:hAnsi="Arial" w:cs="Arial"/>
                <w:b/>
                <w:bCs/>
                <w:color w:val="000000"/>
                <w:sz w:val="22"/>
                <w:szCs w:val="22"/>
              </w:rPr>
              <w:t>(</w:t>
            </w:r>
            <w:r>
              <w:rPr>
                <w:rFonts w:ascii="Arial" w:hAnsi="Arial" w:cs="Arial"/>
                <w:b/>
                <w:bCs/>
                <w:color w:val="000000"/>
                <w:sz w:val="22"/>
                <w:szCs w:val="22"/>
              </w:rPr>
              <w:t>US</w:t>
            </w:r>
            <w:r w:rsidRPr="000A1E33">
              <w:rPr>
                <w:rFonts w:ascii="Arial" w:hAnsi="Arial" w:cs="Arial"/>
                <w:b/>
                <w:bCs/>
                <w:color w:val="000000"/>
                <w:sz w:val="22"/>
                <w:szCs w:val="22"/>
              </w:rPr>
              <w:t>$)</w:t>
            </w:r>
          </w:p>
        </w:tc>
      </w:tr>
      <w:tr w:rsidR="00381DC1" w:rsidRPr="00B33D70" w14:paraId="6F66337B"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7E41DDE7" w14:textId="77777777" w:rsidR="00381DC1" w:rsidRPr="000A1E33" w:rsidRDefault="00381DC1">
            <w:pPr>
              <w:spacing w:before="23" w:line="276" w:lineRule="auto"/>
              <w:ind w:left="59"/>
              <w:rPr>
                <w:rFonts w:ascii="Arial" w:eastAsia="Arial" w:hAnsi="Arial" w:cs="Arial"/>
                <w:sz w:val="22"/>
                <w:szCs w:val="22"/>
                <w:lang w:val="es-ES"/>
              </w:rPr>
            </w:pPr>
            <w:r w:rsidRPr="000A1E33">
              <w:rPr>
                <w:rFonts w:ascii="Arial" w:hAnsi="Arial" w:cs="Arial"/>
                <w:b/>
                <w:bCs/>
                <w:color w:val="000000"/>
                <w:sz w:val="22"/>
                <w:szCs w:val="22"/>
                <w:lang w:val="es-ES"/>
              </w:rPr>
              <w:t>Cuenta corriente</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3938377B" w14:textId="59EF2FDA"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-4.126,46</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29FE048E" w14:textId="0EC56E09"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-5.980,68</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7C8DAEC6" w14:textId="140F61E4"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-1.854,22</w:t>
            </w:r>
          </w:p>
        </w:tc>
      </w:tr>
      <w:tr w:rsidR="00381DC1" w:rsidRPr="00B33D70" w14:paraId="7F416A3E" w14:textId="77777777" w:rsidTr="0843B3CC">
        <w:trPr>
          <w:trHeight w:hRule="exact" w:val="298"/>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3ED1F7C2" w14:textId="77777777" w:rsidR="00381DC1" w:rsidRPr="000A1E33" w:rsidRDefault="00381DC1">
            <w:pPr>
              <w:spacing w:before="23" w:line="276" w:lineRule="auto"/>
              <w:ind w:left="306"/>
              <w:rPr>
                <w:rFonts w:ascii="Arial" w:eastAsia="Arial" w:hAnsi="Arial" w:cs="Arial"/>
                <w:sz w:val="22"/>
                <w:szCs w:val="22"/>
                <w:lang w:val="es-ES"/>
              </w:rPr>
            </w:pPr>
            <w:r w:rsidRPr="000A1E33">
              <w:rPr>
                <w:rFonts w:ascii="Arial" w:hAnsi="Arial" w:cs="Arial"/>
                <w:color w:val="000000"/>
                <w:sz w:val="22"/>
                <w:szCs w:val="22"/>
                <w:lang w:val="es-ES"/>
              </w:rPr>
              <w:lastRenderedPageBreak/>
              <w:t>   Crédito (exportaciones)</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654B18F0" w14:textId="69C751F0"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47.926,43</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78F8628C" w14:textId="061EFF47"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52.853,40</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76F38F6A" w14:textId="4DB451BB"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4.926,97</w:t>
            </w:r>
          </w:p>
        </w:tc>
      </w:tr>
      <w:tr w:rsidR="00381DC1" w:rsidRPr="00B33D70" w14:paraId="0E6674AF"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0B95D4D2" w14:textId="77777777" w:rsidR="00381DC1" w:rsidRPr="000A1E33" w:rsidRDefault="00381DC1">
            <w:pPr>
              <w:spacing w:before="23" w:line="276" w:lineRule="auto"/>
              <w:ind w:left="306"/>
              <w:rPr>
                <w:rFonts w:ascii="Arial" w:eastAsia="Arial" w:hAnsi="Arial" w:cs="Arial"/>
                <w:sz w:val="22"/>
                <w:szCs w:val="22"/>
                <w:lang w:val="es-ES"/>
              </w:rPr>
            </w:pPr>
            <w:r w:rsidRPr="000A1E33">
              <w:rPr>
                <w:rFonts w:ascii="Arial" w:hAnsi="Arial" w:cs="Arial"/>
                <w:color w:val="000000"/>
                <w:sz w:val="22"/>
                <w:szCs w:val="22"/>
                <w:lang w:val="es-ES"/>
              </w:rPr>
              <w:t>   Débito (importaciones)</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6AED4332" w14:textId="59662767"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52.052,89</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5A68E6DE" w14:textId="5FEB62BC"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58.834,07</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42D0795A" w14:textId="199E5B8A"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6.781,18</w:t>
            </w:r>
          </w:p>
        </w:tc>
      </w:tr>
      <w:tr w:rsidR="00381DC1" w:rsidRPr="00B33D70" w14:paraId="0ACD278C"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0B970657" w14:textId="77777777" w:rsidR="00381DC1" w:rsidRPr="004A7E29" w:rsidRDefault="00381DC1">
            <w:pPr>
              <w:spacing w:before="23" w:line="276" w:lineRule="auto"/>
              <w:rPr>
                <w:rFonts w:ascii="Arial" w:eastAsia="Arial" w:hAnsi="Arial" w:cs="Arial"/>
                <w:sz w:val="22"/>
                <w:szCs w:val="22"/>
                <w:lang w:val="es-ES"/>
              </w:rPr>
            </w:pPr>
            <w:r w:rsidRPr="004A7E29">
              <w:rPr>
                <w:rFonts w:ascii="Arial" w:hAnsi="Arial" w:cs="Arial"/>
                <w:b/>
                <w:bCs/>
                <w:color w:val="000000"/>
                <w:sz w:val="22"/>
                <w:szCs w:val="22"/>
                <w:lang w:val="es-ES"/>
              </w:rPr>
              <w:t xml:space="preserve">         </w:t>
            </w:r>
            <w:r w:rsidRPr="0843B3CC">
              <w:rPr>
                <w:rFonts w:ascii="Arial" w:eastAsia="Arial" w:hAnsi="Arial" w:cs="Arial"/>
                <w:b/>
                <w:bCs/>
                <w:spacing w:val="-1"/>
                <w:sz w:val="22"/>
                <w:szCs w:val="22"/>
                <w:lang w:val="es-ES"/>
              </w:rPr>
              <w:t>B</w:t>
            </w:r>
            <w:r w:rsidRPr="0843B3CC">
              <w:rPr>
                <w:rFonts w:ascii="Arial" w:eastAsia="Arial" w:hAnsi="Arial" w:cs="Arial"/>
                <w:b/>
                <w:bCs/>
                <w:sz w:val="22"/>
                <w:szCs w:val="22"/>
                <w:lang w:val="es-ES"/>
              </w:rPr>
              <w:t>alanza</w:t>
            </w:r>
            <w:r w:rsidRPr="0843B3CC">
              <w:rPr>
                <w:rFonts w:ascii="Arial" w:eastAsia="Arial" w:hAnsi="Arial" w:cs="Arial"/>
                <w:b/>
                <w:bCs/>
                <w:spacing w:val="-2"/>
                <w:sz w:val="22"/>
                <w:szCs w:val="22"/>
                <w:lang w:val="es-ES"/>
              </w:rPr>
              <w:t xml:space="preserve"> </w:t>
            </w:r>
            <w:r w:rsidRPr="0843B3CC">
              <w:rPr>
                <w:rFonts w:ascii="Arial" w:eastAsia="Arial" w:hAnsi="Arial" w:cs="Arial"/>
                <w:b/>
                <w:bCs/>
                <w:sz w:val="22"/>
                <w:szCs w:val="22"/>
                <w:lang w:val="es-ES"/>
              </w:rPr>
              <w:t>c</w:t>
            </w:r>
            <w:r w:rsidRPr="0843B3CC">
              <w:rPr>
                <w:rFonts w:ascii="Arial" w:eastAsia="Arial" w:hAnsi="Arial" w:cs="Arial"/>
                <w:b/>
                <w:bCs/>
                <w:spacing w:val="-1"/>
                <w:sz w:val="22"/>
                <w:szCs w:val="22"/>
                <w:lang w:val="es-ES"/>
              </w:rPr>
              <w:t>o</w:t>
            </w:r>
            <w:r w:rsidRPr="0843B3CC">
              <w:rPr>
                <w:rFonts w:ascii="Arial" w:eastAsia="Arial" w:hAnsi="Arial" w:cs="Arial"/>
                <w:b/>
                <w:bCs/>
                <w:sz w:val="22"/>
                <w:szCs w:val="22"/>
                <w:lang w:val="es-ES"/>
              </w:rPr>
              <w:t>m</w:t>
            </w:r>
            <w:r w:rsidRPr="0843B3CC">
              <w:rPr>
                <w:rFonts w:ascii="Arial" w:eastAsia="Arial" w:hAnsi="Arial" w:cs="Arial"/>
                <w:b/>
                <w:bCs/>
                <w:spacing w:val="-2"/>
                <w:sz w:val="22"/>
                <w:szCs w:val="22"/>
                <w:lang w:val="es-ES"/>
              </w:rPr>
              <w:t>e</w:t>
            </w:r>
            <w:r w:rsidRPr="0843B3CC">
              <w:rPr>
                <w:rFonts w:ascii="Arial" w:eastAsia="Arial" w:hAnsi="Arial" w:cs="Arial"/>
                <w:b/>
                <w:bCs/>
                <w:sz w:val="22"/>
                <w:szCs w:val="22"/>
                <w:lang w:val="es-ES"/>
              </w:rPr>
              <w:t>rc</w:t>
            </w:r>
            <w:r w:rsidRPr="0843B3CC">
              <w:rPr>
                <w:rFonts w:ascii="Arial" w:eastAsia="Arial" w:hAnsi="Arial" w:cs="Arial"/>
                <w:b/>
                <w:bCs/>
                <w:spacing w:val="1"/>
                <w:sz w:val="22"/>
                <w:szCs w:val="22"/>
                <w:lang w:val="es-ES"/>
              </w:rPr>
              <w:t>i</w:t>
            </w:r>
            <w:r w:rsidRPr="0843B3CC">
              <w:rPr>
                <w:rFonts w:ascii="Arial" w:eastAsia="Arial" w:hAnsi="Arial" w:cs="Arial"/>
                <w:b/>
                <w:bCs/>
                <w:spacing w:val="-3"/>
                <w:sz w:val="22"/>
                <w:szCs w:val="22"/>
                <w:lang w:val="es-ES"/>
              </w:rPr>
              <w:t>a</w:t>
            </w:r>
            <w:r w:rsidRPr="0843B3CC">
              <w:rPr>
                <w:rFonts w:ascii="Arial" w:eastAsia="Arial" w:hAnsi="Arial" w:cs="Arial"/>
                <w:b/>
                <w:bCs/>
                <w:spacing w:val="1"/>
                <w:sz w:val="22"/>
                <w:szCs w:val="22"/>
                <w:lang w:val="es-ES"/>
              </w:rPr>
              <w:t>l</w:t>
            </w:r>
            <w:r w:rsidRPr="0843B3CC">
              <w:rPr>
                <w:rFonts w:ascii="Arial" w:eastAsia="Arial" w:hAnsi="Arial" w:cs="Arial"/>
                <w:b/>
                <w:bCs/>
                <w:sz w:val="22"/>
                <w:szCs w:val="22"/>
                <w:lang w:val="es-ES"/>
              </w:rPr>
              <w:t xml:space="preserve">, </w:t>
            </w:r>
            <w:r w:rsidRPr="0843B3CC">
              <w:rPr>
                <w:rFonts w:ascii="Arial" w:eastAsia="Arial" w:hAnsi="Arial" w:cs="Arial"/>
                <w:b/>
                <w:bCs/>
                <w:spacing w:val="-2"/>
                <w:sz w:val="22"/>
                <w:szCs w:val="22"/>
                <w:lang w:val="es-ES"/>
              </w:rPr>
              <w:t>(</w:t>
            </w:r>
            <w:r w:rsidRPr="0843B3CC">
              <w:rPr>
                <w:rFonts w:ascii="Arial" w:eastAsia="Arial" w:hAnsi="Arial" w:cs="Arial"/>
                <w:b/>
                <w:bCs/>
                <w:spacing w:val="-1"/>
                <w:sz w:val="22"/>
                <w:szCs w:val="22"/>
                <w:lang w:val="es-ES"/>
              </w:rPr>
              <w:t>B</w:t>
            </w:r>
            <w:r w:rsidRPr="0843B3CC">
              <w:rPr>
                <w:rFonts w:ascii="Arial" w:eastAsia="Arial" w:hAnsi="Arial" w:cs="Arial"/>
                <w:b/>
                <w:bCs/>
                <w:spacing w:val="1"/>
                <w:sz w:val="22"/>
                <w:szCs w:val="22"/>
                <w:lang w:val="es-ES"/>
              </w:rPr>
              <w:t>i</w:t>
            </w:r>
            <w:r w:rsidRPr="0843B3CC">
              <w:rPr>
                <w:rFonts w:ascii="Arial" w:eastAsia="Arial" w:hAnsi="Arial" w:cs="Arial"/>
                <w:b/>
                <w:bCs/>
                <w:sz w:val="22"/>
                <w:szCs w:val="22"/>
                <w:lang w:val="es-ES"/>
              </w:rPr>
              <w:t>e</w:t>
            </w:r>
            <w:r w:rsidRPr="0843B3CC">
              <w:rPr>
                <w:rFonts w:ascii="Arial" w:eastAsia="Arial" w:hAnsi="Arial" w:cs="Arial"/>
                <w:b/>
                <w:bCs/>
                <w:spacing w:val="-1"/>
                <w:sz w:val="22"/>
                <w:szCs w:val="22"/>
                <w:lang w:val="es-ES"/>
              </w:rPr>
              <w:t>n</w:t>
            </w:r>
            <w:r w:rsidRPr="0843B3CC">
              <w:rPr>
                <w:rFonts w:ascii="Arial" w:eastAsia="Arial" w:hAnsi="Arial" w:cs="Arial"/>
                <w:b/>
                <w:bCs/>
                <w:sz w:val="22"/>
                <w:szCs w:val="22"/>
                <w:lang w:val="es-ES"/>
              </w:rPr>
              <w:t>es</w:t>
            </w:r>
            <w:r w:rsidRPr="0843B3CC">
              <w:rPr>
                <w:rFonts w:ascii="Arial" w:eastAsia="Arial" w:hAnsi="Arial" w:cs="Arial"/>
                <w:b/>
                <w:bCs/>
                <w:spacing w:val="1"/>
                <w:sz w:val="22"/>
                <w:szCs w:val="22"/>
                <w:lang w:val="es-ES"/>
              </w:rPr>
              <w:t xml:space="preserve"> </w:t>
            </w:r>
            <w:r w:rsidRPr="0843B3CC">
              <w:rPr>
                <w:rFonts w:ascii="Arial" w:eastAsia="Arial" w:hAnsi="Arial" w:cs="Arial"/>
                <w:b/>
                <w:bCs/>
                <w:sz w:val="22"/>
                <w:szCs w:val="22"/>
                <w:lang w:val="es-ES"/>
              </w:rPr>
              <w:t>y s</w:t>
            </w:r>
            <w:r w:rsidRPr="0843B3CC">
              <w:rPr>
                <w:rFonts w:ascii="Arial" w:eastAsia="Arial" w:hAnsi="Arial" w:cs="Arial"/>
                <w:b/>
                <w:bCs/>
                <w:spacing w:val="-2"/>
                <w:sz w:val="22"/>
                <w:szCs w:val="22"/>
                <w:lang w:val="es-ES"/>
              </w:rPr>
              <w:t>e</w:t>
            </w:r>
            <w:r w:rsidRPr="0843B3CC">
              <w:rPr>
                <w:rFonts w:ascii="Arial" w:eastAsia="Arial" w:hAnsi="Arial" w:cs="Arial"/>
                <w:b/>
                <w:bCs/>
                <w:sz w:val="22"/>
                <w:szCs w:val="22"/>
                <w:lang w:val="es-ES"/>
              </w:rPr>
              <w:t>rv</w:t>
            </w:r>
            <w:r w:rsidRPr="0843B3CC">
              <w:rPr>
                <w:rFonts w:ascii="Arial" w:eastAsia="Arial" w:hAnsi="Arial" w:cs="Arial"/>
                <w:b/>
                <w:bCs/>
                <w:spacing w:val="1"/>
                <w:sz w:val="22"/>
                <w:szCs w:val="22"/>
                <w:lang w:val="es-ES"/>
              </w:rPr>
              <w:t>i</w:t>
            </w:r>
            <w:r w:rsidRPr="0843B3CC">
              <w:rPr>
                <w:rFonts w:ascii="Arial" w:eastAsia="Arial" w:hAnsi="Arial" w:cs="Arial"/>
                <w:b/>
                <w:bCs/>
                <w:spacing w:val="-3"/>
                <w:sz w:val="22"/>
                <w:szCs w:val="22"/>
                <w:lang w:val="es-ES"/>
              </w:rPr>
              <w:t>c</w:t>
            </w:r>
            <w:r w:rsidRPr="0843B3CC">
              <w:rPr>
                <w:rFonts w:ascii="Arial" w:eastAsia="Arial" w:hAnsi="Arial" w:cs="Arial"/>
                <w:b/>
                <w:bCs/>
                <w:spacing w:val="1"/>
                <w:sz w:val="22"/>
                <w:szCs w:val="22"/>
                <w:lang w:val="es-ES"/>
              </w:rPr>
              <w:t>i</w:t>
            </w:r>
            <w:r w:rsidRPr="0843B3CC">
              <w:rPr>
                <w:rFonts w:ascii="Arial" w:eastAsia="Arial" w:hAnsi="Arial" w:cs="Arial"/>
                <w:b/>
                <w:bCs/>
                <w:sz w:val="22"/>
                <w:szCs w:val="22"/>
                <w:lang w:val="es-ES"/>
              </w:rPr>
              <w:t>o</w:t>
            </w:r>
            <w:r w:rsidRPr="0843B3CC">
              <w:rPr>
                <w:rFonts w:ascii="Arial" w:eastAsia="Arial" w:hAnsi="Arial" w:cs="Arial"/>
                <w:b/>
                <w:bCs/>
                <w:spacing w:val="-1"/>
                <w:sz w:val="22"/>
                <w:szCs w:val="22"/>
                <w:lang w:val="es-ES"/>
              </w:rPr>
              <w:t>s</w:t>
            </w:r>
            <w:r w:rsidRPr="0843B3CC">
              <w:rPr>
                <w:rFonts w:ascii="Arial" w:eastAsia="Arial" w:hAnsi="Arial" w:cs="Arial"/>
                <w:b/>
                <w:bCs/>
                <w:sz w:val="22"/>
                <w:szCs w:val="22"/>
                <w:lang w:val="es-ES"/>
              </w:rPr>
              <w:t>)</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4BC40550" w14:textId="2A9A350A"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-6.355,62</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0DCA4E52" w14:textId="1BB2D878"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-8.069,32</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48258C7B" w14:textId="47ACAB51"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-1.713,70</w:t>
            </w:r>
          </w:p>
        </w:tc>
      </w:tr>
      <w:tr w:rsidR="00381DC1" w:rsidRPr="00B33D70" w14:paraId="481612D3"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7B72EA6A" w14:textId="77777777" w:rsidR="00381DC1" w:rsidRPr="000A1E33" w:rsidRDefault="00381DC1">
            <w:pPr>
              <w:spacing w:before="23" w:line="276" w:lineRule="auto"/>
              <w:ind w:left="611"/>
              <w:rPr>
                <w:rFonts w:ascii="Arial" w:eastAsia="Arial" w:hAnsi="Arial" w:cs="Arial"/>
                <w:sz w:val="22"/>
                <w:szCs w:val="22"/>
                <w:lang w:val="es-ES"/>
              </w:rPr>
            </w:pPr>
            <w:r w:rsidRPr="000A1E33">
              <w:rPr>
                <w:rFonts w:ascii="Arial" w:hAnsi="Arial" w:cs="Arial"/>
                <w:color w:val="000000"/>
                <w:lang w:val="es-ES"/>
              </w:rPr>
              <w:t xml:space="preserve">  </w:t>
            </w:r>
            <w:r w:rsidRPr="000A1E33">
              <w:rPr>
                <w:rFonts w:ascii="Arial" w:hAnsi="Arial" w:cs="Arial"/>
                <w:color w:val="000000"/>
                <w:sz w:val="22"/>
                <w:szCs w:val="22"/>
                <w:lang w:val="es-ES"/>
              </w:rPr>
              <w:t>Crédito (exportaciones)</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3F12990E" w14:textId="6D21D1E8"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34.344,71</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3A42D5BA" w14:textId="4CB1BBBC"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38.590,88</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7019C70B" w14:textId="4C73EA77"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4.246,17</w:t>
            </w:r>
          </w:p>
        </w:tc>
      </w:tr>
      <w:tr w:rsidR="00381DC1" w:rsidRPr="00B33D70" w14:paraId="7BF3362F"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11DD00FF" w14:textId="77777777" w:rsidR="00381DC1" w:rsidRPr="000A1E33" w:rsidRDefault="00381DC1">
            <w:pPr>
              <w:spacing w:before="23" w:line="276" w:lineRule="auto"/>
              <w:ind w:left="611"/>
              <w:rPr>
                <w:rFonts w:ascii="Arial" w:eastAsia="Arial" w:hAnsi="Arial" w:cs="Arial"/>
                <w:sz w:val="22"/>
                <w:szCs w:val="22"/>
                <w:lang w:val="es-ES"/>
              </w:rPr>
            </w:pPr>
            <w:r w:rsidRPr="000A1E33">
              <w:rPr>
                <w:rFonts w:ascii="Arial" w:hAnsi="Arial" w:cs="Arial"/>
                <w:color w:val="000000"/>
                <w:sz w:val="22"/>
                <w:szCs w:val="22"/>
                <w:lang w:val="es-ES"/>
              </w:rPr>
              <w:t>  </w:t>
            </w:r>
            <w:r w:rsidRPr="000A1E33">
              <w:rPr>
                <w:rFonts w:ascii="Arial" w:hAnsi="Arial" w:cs="Arial"/>
                <w:color w:val="000000"/>
                <w:lang w:val="es-ES"/>
              </w:rPr>
              <w:t xml:space="preserve"> </w:t>
            </w:r>
            <w:r w:rsidRPr="000A1E33">
              <w:rPr>
                <w:rFonts w:ascii="Arial" w:hAnsi="Arial" w:cs="Arial"/>
                <w:color w:val="000000"/>
                <w:sz w:val="22"/>
                <w:szCs w:val="22"/>
                <w:lang w:val="es-ES"/>
              </w:rPr>
              <w:t>Débito (importaciones)</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1FBE4B59" w14:textId="40D87841"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40.700,33</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27401ABF" w14:textId="63F489D3"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46.660,19</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425F1882" w14:textId="3AD577D2"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5.959,86</w:t>
            </w:r>
          </w:p>
        </w:tc>
      </w:tr>
      <w:tr w:rsidR="00381DC1" w:rsidRPr="00B33D70" w14:paraId="61DA0318"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3C729186" w14:textId="77777777" w:rsidR="00381DC1" w:rsidRPr="000A1E33" w:rsidRDefault="00381DC1">
            <w:pPr>
              <w:spacing w:before="23" w:line="276" w:lineRule="auto"/>
              <w:rPr>
                <w:rFonts w:ascii="Arial" w:eastAsia="Arial" w:hAnsi="Arial" w:cs="Arial"/>
                <w:sz w:val="22"/>
                <w:szCs w:val="22"/>
                <w:lang w:val="es-ES"/>
              </w:rPr>
            </w:pPr>
            <w:r w:rsidRPr="000A1E33">
              <w:rPr>
                <w:rFonts w:ascii="Arial" w:hAnsi="Arial" w:cs="Arial"/>
                <w:b/>
                <w:bCs/>
                <w:color w:val="000000"/>
                <w:lang w:val="es-ES"/>
              </w:rPr>
              <w:t xml:space="preserve">             </w:t>
            </w:r>
            <w:r w:rsidRPr="000A1E33">
              <w:rPr>
                <w:rFonts w:ascii="Arial" w:hAnsi="Arial" w:cs="Arial"/>
                <w:b/>
                <w:bCs/>
                <w:color w:val="000000"/>
                <w:sz w:val="22"/>
                <w:szCs w:val="22"/>
                <w:lang w:val="es-ES"/>
              </w:rPr>
              <w:t>Bienes</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0B7E3B2E" w14:textId="32B25B54"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-6.704,67</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561B415E" w14:textId="67A4DF54"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-7.811,14</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2BEE6A1C" w14:textId="6F1F3F94"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-1.106,47</w:t>
            </w:r>
          </w:p>
        </w:tc>
      </w:tr>
      <w:tr w:rsidR="00381DC1" w:rsidRPr="00B33D70" w14:paraId="1A77BD3D" w14:textId="77777777" w:rsidTr="0843B3CC">
        <w:trPr>
          <w:trHeight w:hRule="exact" w:val="298"/>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03B5A523" w14:textId="675EC0A8" w:rsidR="00381DC1" w:rsidRPr="000A1E33" w:rsidRDefault="00381DC1">
            <w:pPr>
              <w:spacing w:before="23" w:line="276" w:lineRule="auto"/>
              <w:ind w:left="796"/>
              <w:rPr>
                <w:rFonts w:ascii="Arial" w:eastAsia="Arial" w:hAnsi="Arial" w:cs="Arial"/>
                <w:sz w:val="22"/>
                <w:szCs w:val="22"/>
                <w:lang w:val="es-ES"/>
              </w:rPr>
            </w:pPr>
            <w:r w:rsidRPr="000A1E33">
              <w:rPr>
                <w:rFonts w:ascii="Arial" w:hAnsi="Arial" w:cs="Arial"/>
                <w:color w:val="000000"/>
                <w:lang w:val="es-ES"/>
              </w:rPr>
              <w:t xml:space="preserve">  </w:t>
            </w:r>
            <w:r w:rsidRPr="000A1E33">
              <w:rPr>
                <w:rFonts w:ascii="Arial" w:hAnsi="Arial" w:cs="Arial"/>
                <w:color w:val="000000"/>
                <w:sz w:val="22"/>
                <w:szCs w:val="22"/>
                <w:lang w:val="es-ES"/>
              </w:rPr>
              <w:t>Crédito (exportaciones)</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54754D85" w14:textId="3C730C9D"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24.958,23</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012D8E0C" w14:textId="32694C0B"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28.344,32</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4249BE70" w14:textId="56989B8B"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3.386,09</w:t>
            </w:r>
          </w:p>
        </w:tc>
      </w:tr>
      <w:tr w:rsidR="00381DC1" w:rsidRPr="00B33D70" w14:paraId="2D10C058"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7EA37FF5" w14:textId="2ECC2EAB" w:rsidR="00381DC1" w:rsidRPr="000A1E33" w:rsidRDefault="00381DC1">
            <w:pPr>
              <w:spacing w:before="23" w:line="276" w:lineRule="auto"/>
              <w:ind w:left="796"/>
              <w:rPr>
                <w:rFonts w:ascii="Arial" w:eastAsia="Arial" w:hAnsi="Arial" w:cs="Arial"/>
                <w:sz w:val="22"/>
                <w:szCs w:val="22"/>
                <w:lang w:val="es-ES"/>
              </w:rPr>
            </w:pPr>
            <w:r w:rsidRPr="000A1E33">
              <w:rPr>
                <w:rFonts w:ascii="Arial" w:hAnsi="Arial" w:cs="Arial"/>
                <w:color w:val="000000"/>
                <w:sz w:val="22"/>
                <w:szCs w:val="22"/>
                <w:lang w:val="es-ES"/>
              </w:rPr>
              <w:t> </w:t>
            </w:r>
            <w:r w:rsidRPr="000A1E33">
              <w:rPr>
                <w:rFonts w:ascii="Arial" w:hAnsi="Arial" w:cs="Arial"/>
                <w:color w:val="000000"/>
                <w:lang w:val="es-ES"/>
              </w:rPr>
              <w:t xml:space="preserve"> </w:t>
            </w:r>
            <w:r w:rsidRPr="000A1E33">
              <w:rPr>
                <w:rFonts w:ascii="Arial" w:hAnsi="Arial" w:cs="Arial"/>
                <w:color w:val="000000"/>
                <w:sz w:val="22"/>
                <w:szCs w:val="22"/>
                <w:lang w:val="es-ES"/>
              </w:rPr>
              <w:t>Débito (importaciones)</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6ED34882" w14:textId="4B538422"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31.662,91</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1BBA9C67" w14:textId="19AD018D"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36.155,47</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16C39423" w14:textId="6ACF7148"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4.492,56</w:t>
            </w:r>
          </w:p>
        </w:tc>
      </w:tr>
      <w:tr w:rsidR="00381DC1" w:rsidRPr="00B33D70" w14:paraId="5B31D2CD"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76AFB5F3" w14:textId="77777777" w:rsidR="00381DC1" w:rsidRPr="000A1E33" w:rsidRDefault="00381DC1">
            <w:pPr>
              <w:spacing w:before="23" w:line="276" w:lineRule="auto"/>
              <w:ind w:left="834" w:hanging="161"/>
              <w:rPr>
                <w:rFonts w:ascii="Arial" w:eastAsia="Arial" w:hAnsi="Arial" w:cs="Arial"/>
                <w:sz w:val="22"/>
                <w:szCs w:val="22"/>
                <w:lang w:val="es-ES"/>
              </w:rPr>
            </w:pPr>
            <w:r w:rsidRPr="000A1E33">
              <w:rPr>
                <w:rFonts w:ascii="Arial" w:hAnsi="Arial" w:cs="Arial"/>
                <w:b/>
                <w:bCs/>
                <w:color w:val="000000"/>
                <w:sz w:val="22"/>
                <w:szCs w:val="22"/>
                <w:lang w:val="es-ES"/>
              </w:rPr>
              <w:t> </w:t>
            </w:r>
            <w:r w:rsidRPr="000A1E33">
              <w:rPr>
                <w:rFonts w:ascii="Arial" w:hAnsi="Arial" w:cs="Arial"/>
                <w:b/>
                <w:bCs/>
                <w:color w:val="000000"/>
                <w:lang w:val="es-ES"/>
              </w:rPr>
              <w:t xml:space="preserve"> </w:t>
            </w:r>
            <w:r w:rsidRPr="000A1E33">
              <w:rPr>
                <w:rFonts w:ascii="Arial" w:hAnsi="Arial" w:cs="Arial"/>
                <w:b/>
                <w:bCs/>
                <w:color w:val="000000"/>
                <w:sz w:val="22"/>
                <w:szCs w:val="22"/>
                <w:lang w:val="es-ES"/>
              </w:rPr>
              <w:t>Servicios</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155C2BF9" w14:textId="2741A1D0"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349,05</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2D5A2554" w14:textId="572C4B61"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-258,17</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592FBB6D" w14:textId="69C325B8"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-607,22</w:t>
            </w:r>
          </w:p>
        </w:tc>
      </w:tr>
      <w:tr w:rsidR="00381DC1" w:rsidRPr="00B33D70" w14:paraId="4C74D54E"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2170DBA4" w14:textId="77777777" w:rsidR="00381DC1" w:rsidRPr="000A1E33" w:rsidRDefault="00381DC1">
            <w:pPr>
              <w:spacing w:before="23" w:line="276" w:lineRule="auto"/>
              <w:ind w:left="834" w:hanging="38"/>
              <w:rPr>
                <w:rFonts w:ascii="Arial" w:eastAsia="Arial" w:hAnsi="Arial" w:cs="Arial"/>
                <w:sz w:val="22"/>
                <w:szCs w:val="22"/>
                <w:lang w:val="es-ES"/>
              </w:rPr>
            </w:pPr>
            <w:r w:rsidRPr="000A1E33">
              <w:rPr>
                <w:rFonts w:ascii="Arial" w:hAnsi="Arial" w:cs="Arial"/>
                <w:color w:val="000000"/>
                <w:lang w:val="es-ES"/>
              </w:rPr>
              <w:t xml:space="preserve">  </w:t>
            </w:r>
            <w:r w:rsidRPr="000A1E33">
              <w:rPr>
                <w:rFonts w:ascii="Arial" w:hAnsi="Arial" w:cs="Arial"/>
                <w:color w:val="000000"/>
                <w:sz w:val="22"/>
                <w:szCs w:val="22"/>
                <w:lang w:val="es-ES"/>
              </w:rPr>
              <w:t>Crédito (exportaciones)</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23997949" w14:textId="20A69619"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9.386,48</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1BFEF096" w14:textId="0FEBE102"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10.246,55</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61150AE1" w14:textId="5D4240EF"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860,07</w:t>
            </w:r>
          </w:p>
        </w:tc>
      </w:tr>
      <w:tr w:rsidR="00381DC1" w:rsidRPr="00B33D70" w14:paraId="1BA9B9F6"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3927DCDD" w14:textId="77777777" w:rsidR="00381DC1" w:rsidRPr="000A1E33" w:rsidRDefault="00381DC1">
            <w:pPr>
              <w:spacing w:before="23" w:line="276" w:lineRule="auto"/>
              <w:ind w:left="834" w:hanging="38"/>
              <w:rPr>
                <w:rFonts w:ascii="Arial" w:eastAsia="Arial" w:hAnsi="Arial" w:cs="Arial"/>
                <w:sz w:val="22"/>
                <w:szCs w:val="22"/>
                <w:lang w:val="es-ES"/>
              </w:rPr>
            </w:pPr>
            <w:r w:rsidRPr="000A1E33">
              <w:rPr>
                <w:rFonts w:ascii="Arial" w:hAnsi="Arial" w:cs="Arial"/>
                <w:color w:val="000000"/>
                <w:sz w:val="22"/>
                <w:szCs w:val="22"/>
                <w:lang w:val="es-ES"/>
              </w:rPr>
              <w:t>  Débito (importaciones)</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5846BEDB" w14:textId="52092F68"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9.037,43</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06EAD5FC" w14:textId="5DD59E43"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10.504,72</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25011ABC" w14:textId="17E2CD01"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1.467,29</w:t>
            </w:r>
          </w:p>
        </w:tc>
      </w:tr>
      <w:tr w:rsidR="00381DC1" w:rsidRPr="00B33D70" w14:paraId="0AF052D9"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594FCE89" w14:textId="012EDD19" w:rsidR="00381DC1" w:rsidRPr="000A1E33" w:rsidRDefault="00381DC1">
            <w:pPr>
              <w:spacing w:before="23" w:line="276" w:lineRule="auto"/>
              <w:ind w:left="321"/>
              <w:rPr>
                <w:rFonts w:ascii="Arial" w:eastAsia="Arial" w:hAnsi="Arial" w:cs="Arial"/>
                <w:sz w:val="22"/>
                <w:szCs w:val="22"/>
                <w:lang w:val="es-ES"/>
              </w:rPr>
            </w:pPr>
            <w:r w:rsidRPr="000A1E33">
              <w:rPr>
                <w:rFonts w:ascii="Arial" w:hAnsi="Arial" w:cs="Arial"/>
                <w:b/>
                <w:bCs/>
                <w:color w:val="000000"/>
                <w:sz w:val="22"/>
                <w:szCs w:val="22"/>
                <w:lang w:val="es-ES"/>
              </w:rPr>
              <w:t xml:space="preserve">    Renta </w:t>
            </w:r>
            <w:r w:rsidRPr="000A1E33">
              <w:rPr>
                <w:rFonts w:ascii="Arial" w:hAnsi="Arial" w:cs="Arial"/>
                <w:b/>
                <w:bCs/>
                <w:color w:val="000000"/>
                <w:lang w:val="es-ES"/>
              </w:rPr>
              <w:t>factorial (</w:t>
            </w:r>
            <w:r w:rsidRPr="000A1E33">
              <w:rPr>
                <w:rFonts w:ascii="Arial" w:hAnsi="Arial" w:cs="Arial"/>
                <w:b/>
                <w:bCs/>
                <w:color w:val="000000"/>
                <w:sz w:val="22"/>
                <w:szCs w:val="22"/>
                <w:lang w:val="es-ES"/>
              </w:rPr>
              <w:t>Ingreso primario</w:t>
            </w:r>
            <w:r w:rsidRPr="000A1E33">
              <w:rPr>
                <w:rFonts w:ascii="Arial" w:hAnsi="Arial" w:cs="Arial"/>
                <w:b/>
                <w:bCs/>
                <w:color w:val="000000"/>
                <w:lang w:val="es-ES"/>
              </w:rPr>
              <w:t>)</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33193EBC" w14:textId="170BA36A"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-5.768,05</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2653E5D7" w14:textId="2DD6D0F3"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-6.219,86</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tcPr>
          <w:p w14:paraId="44FFC3E1" w14:textId="34F09A6E"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-451,81</w:t>
            </w:r>
          </w:p>
        </w:tc>
      </w:tr>
      <w:tr w:rsidR="00381DC1" w:rsidRPr="00B33D70" w14:paraId="616AD64A" w14:textId="77777777" w:rsidTr="0843B3CC">
        <w:trPr>
          <w:trHeight w:hRule="exact" w:val="298"/>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40A70F1F" w14:textId="77777777" w:rsidR="00381DC1" w:rsidRPr="000A1E33" w:rsidRDefault="00381DC1">
            <w:pPr>
              <w:spacing w:before="23" w:line="276" w:lineRule="auto"/>
              <w:ind w:left="611"/>
              <w:rPr>
                <w:rFonts w:ascii="Arial" w:eastAsia="Arial" w:hAnsi="Arial" w:cs="Arial"/>
                <w:sz w:val="22"/>
                <w:szCs w:val="22"/>
                <w:lang w:val="es-ES"/>
              </w:rPr>
            </w:pPr>
            <w:r w:rsidRPr="000A1E33">
              <w:rPr>
                <w:rFonts w:ascii="Arial" w:hAnsi="Arial" w:cs="Arial"/>
                <w:color w:val="000000"/>
                <w:sz w:val="22"/>
                <w:szCs w:val="22"/>
                <w:lang w:val="es-ES"/>
              </w:rPr>
              <w:t>   </w:t>
            </w:r>
            <w:r w:rsidRPr="000A1E33">
              <w:rPr>
                <w:rFonts w:ascii="Arial" w:hAnsi="Arial" w:cs="Arial"/>
                <w:color w:val="000000"/>
                <w:lang w:val="es-ES"/>
              </w:rPr>
              <w:t xml:space="preserve">  </w:t>
            </w:r>
            <w:r w:rsidRPr="000A1E33">
              <w:rPr>
                <w:rFonts w:ascii="Arial" w:hAnsi="Arial" w:cs="Arial"/>
                <w:color w:val="000000"/>
                <w:sz w:val="22"/>
                <w:szCs w:val="22"/>
                <w:lang w:val="es-ES"/>
              </w:rPr>
              <w:t>Crédito</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34CD9807" w14:textId="21CE33AC"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4.849,57</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2A518701" w14:textId="0A61EC9D"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5.243,13</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7312EFDA" w14:textId="21F18C55"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393,56</w:t>
            </w:r>
          </w:p>
        </w:tc>
      </w:tr>
      <w:tr w:rsidR="00381DC1" w:rsidRPr="00B33D70" w14:paraId="487FF28C"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5AABCD24" w14:textId="77777777" w:rsidR="00381DC1" w:rsidRPr="000A1E33" w:rsidRDefault="00381DC1">
            <w:pPr>
              <w:spacing w:before="23" w:line="276" w:lineRule="auto"/>
              <w:ind w:left="611"/>
              <w:rPr>
                <w:rFonts w:ascii="Arial" w:eastAsia="Arial" w:hAnsi="Arial" w:cs="Arial"/>
                <w:sz w:val="22"/>
                <w:szCs w:val="22"/>
                <w:lang w:val="es-ES"/>
              </w:rPr>
            </w:pPr>
            <w:r w:rsidRPr="000A1E33">
              <w:rPr>
                <w:rFonts w:ascii="Arial" w:hAnsi="Arial" w:cs="Arial"/>
                <w:color w:val="000000"/>
                <w:sz w:val="22"/>
                <w:szCs w:val="22"/>
                <w:lang w:val="es-ES"/>
              </w:rPr>
              <w:t>     Débito</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4BD22F9C" w14:textId="56081E48"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10.617,63</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205CDBCE" w14:textId="502C82CC"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11.462,98</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0131785E" w14:textId="2F0E6DF6"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845,35</w:t>
            </w:r>
          </w:p>
        </w:tc>
      </w:tr>
      <w:tr w:rsidR="00381DC1" w:rsidRPr="00B33D70" w14:paraId="6E402FEA"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6F88AE49" w14:textId="4CCA6E6F" w:rsidR="00381DC1" w:rsidRPr="000B2A7B" w:rsidRDefault="000B2A7B" w:rsidP="000B2A7B">
            <w:pPr>
              <w:spacing w:before="23" w:line="276" w:lineRule="auto"/>
              <w:rPr>
                <w:rFonts w:ascii="Arial" w:eastAsia="Arial" w:hAnsi="Arial" w:cs="Arial"/>
                <w:sz w:val="22"/>
                <w:szCs w:val="22"/>
                <w:lang w:val="es-ES"/>
              </w:rPr>
            </w:pPr>
            <w:r w:rsidRPr="0843B3CC">
              <w:rPr>
                <w:rFonts w:ascii="Arial" w:eastAsia="Arial" w:hAnsi="Arial" w:cs="Arial"/>
                <w:b/>
                <w:bCs/>
                <w:spacing w:val="2"/>
                <w:sz w:val="22"/>
                <w:szCs w:val="22"/>
                <w:lang w:val="es-ES"/>
              </w:rPr>
              <w:t xml:space="preserve">        </w:t>
            </w:r>
            <w:r w:rsidR="004A7E29" w:rsidRPr="0843B3CC">
              <w:rPr>
                <w:rFonts w:ascii="Arial" w:eastAsia="Arial" w:hAnsi="Arial" w:cs="Arial"/>
                <w:b/>
                <w:bCs/>
                <w:spacing w:val="2"/>
                <w:sz w:val="22"/>
                <w:szCs w:val="22"/>
                <w:lang w:val="es-ES"/>
              </w:rPr>
              <w:t xml:space="preserve"> </w:t>
            </w:r>
            <w:r w:rsidR="00381DC1" w:rsidRPr="0843B3CC">
              <w:rPr>
                <w:rFonts w:ascii="Arial" w:eastAsia="Arial" w:hAnsi="Arial" w:cs="Arial"/>
                <w:b/>
                <w:bCs/>
                <w:spacing w:val="2"/>
                <w:sz w:val="22"/>
                <w:szCs w:val="22"/>
                <w:lang w:val="es-ES"/>
              </w:rPr>
              <w:t>T</w:t>
            </w:r>
            <w:r w:rsidR="00381DC1" w:rsidRPr="0843B3CC">
              <w:rPr>
                <w:rFonts w:ascii="Arial" w:eastAsia="Arial" w:hAnsi="Arial" w:cs="Arial"/>
                <w:b/>
                <w:bCs/>
                <w:sz w:val="22"/>
                <w:szCs w:val="22"/>
                <w:lang w:val="es-ES"/>
              </w:rPr>
              <w:t>ran</w:t>
            </w:r>
            <w:r w:rsidR="00381DC1" w:rsidRPr="0843B3CC">
              <w:rPr>
                <w:rFonts w:ascii="Arial" w:eastAsia="Arial" w:hAnsi="Arial" w:cs="Arial"/>
                <w:b/>
                <w:bCs/>
                <w:spacing w:val="-3"/>
                <w:sz w:val="22"/>
                <w:szCs w:val="22"/>
                <w:lang w:val="es-ES"/>
              </w:rPr>
              <w:t>s</w:t>
            </w:r>
            <w:r w:rsidR="00381DC1" w:rsidRPr="0843B3CC">
              <w:rPr>
                <w:rFonts w:ascii="Arial" w:eastAsia="Arial" w:hAnsi="Arial" w:cs="Arial"/>
                <w:b/>
                <w:bCs/>
                <w:spacing w:val="1"/>
                <w:sz w:val="22"/>
                <w:szCs w:val="22"/>
                <w:lang w:val="es-ES"/>
              </w:rPr>
              <w:t>f</w:t>
            </w:r>
            <w:r w:rsidR="00381DC1" w:rsidRPr="0843B3CC">
              <w:rPr>
                <w:rFonts w:ascii="Arial" w:eastAsia="Arial" w:hAnsi="Arial" w:cs="Arial"/>
                <w:b/>
                <w:bCs/>
                <w:sz w:val="22"/>
                <w:szCs w:val="22"/>
                <w:lang w:val="es-ES"/>
              </w:rPr>
              <w:t>ere</w:t>
            </w:r>
            <w:r w:rsidR="00381DC1" w:rsidRPr="0843B3CC">
              <w:rPr>
                <w:rFonts w:ascii="Arial" w:eastAsia="Arial" w:hAnsi="Arial" w:cs="Arial"/>
                <w:b/>
                <w:bCs/>
                <w:spacing w:val="-1"/>
                <w:sz w:val="22"/>
                <w:szCs w:val="22"/>
                <w:lang w:val="es-ES"/>
              </w:rPr>
              <w:t>n</w:t>
            </w:r>
            <w:r w:rsidR="00381DC1" w:rsidRPr="0843B3CC">
              <w:rPr>
                <w:rFonts w:ascii="Arial" w:eastAsia="Arial" w:hAnsi="Arial" w:cs="Arial"/>
                <w:b/>
                <w:bCs/>
                <w:sz w:val="22"/>
                <w:szCs w:val="22"/>
                <w:lang w:val="es-ES"/>
              </w:rPr>
              <w:t>cias</w:t>
            </w:r>
            <w:r w:rsidR="00381DC1" w:rsidRPr="0843B3CC">
              <w:rPr>
                <w:rFonts w:ascii="Arial" w:eastAsia="Arial" w:hAnsi="Arial" w:cs="Arial"/>
                <w:b/>
                <w:bCs/>
                <w:spacing w:val="-1"/>
                <w:sz w:val="22"/>
                <w:szCs w:val="22"/>
                <w:lang w:val="es-ES"/>
              </w:rPr>
              <w:t xml:space="preserve"> </w:t>
            </w:r>
            <w:r w:rsidR="00381DC1" w:rsidRPr="0843B3CC">
              <w:rPr>
                <w:rFonts w:ascii="Arial" w:eastAsia="Arial" w:hAnsi="Arial" w:cs="Arial"/>
                <w:b/>
                <w:bCs/>
                <w:sz w:val="22"/>
                <w:szCs w:val="22"/>
                <w:lang w:val="es-ES"/>
              </w:rPr>
              <w:t>Corriente (Ingreso</w:t>
            </w:r>
            <w:r w:rsidRPr="0843B3CC">
              <w:rPr>
                <w:rFonts w:ascii="Arial" w:eastAsia="Arial" w:hAnsi="Arial" w:cs="Arial"/>
                <w:b/>
                <w:bCs/>
                <w:sz w:val="22"/>
                <w:szCs w:val="22"/>
                <w:lang w:val="es-ES"/>
              </w:rPr>
              <w:t xml:space="preserve"> </w:t>
            </w:r>
            <w:r w:rsidR="00381DC1" w:rsidRPr="0843B3CC">
              <w:rPr>
                <w:rFonts w:ascii="Arial" w:eastAsia="Arial" w:hAnsi="Arial" w:cs="Arial"/>
                <w:b/>
                <w:bCs/>
                <w:sz w:val="22"/>
                <w:szCs w:val="22"/>
                <w:lang w:val="es-ES"/>
              </w:rPr>
              <w:t>secundario</w:t>
            </w:r>
            <w:r w:rsidRPr="0843B3CC">
              <w:rPr>
                <w:rFonts w:ascii="Arial" w:eastAsia="Arial" w:hAnsi="Arial" w:cs="Arial"/>
                <w:b/>
                <w:bCs/>
                <w:sz w:val="22"/>
                <w:szCs w:val="22"/>
                <w:lang w:val="es-ES"/>
              </w:rPr>
              <w:t>)</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3DDCD3FD" w14:textId="4515D26F"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7.997,21</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416FBFCE" w14:textId="116DC5A5"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8.308,50</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7E582D32" w14:textId="1B3B246E" w:rsidR="0843B3CC" w:rsidRDefault="0843B3CC" w:rsidP="0843B3CC">
            <w:pPr>
              <w:rPr>
                <w:rFonts w:ascii="Arial" w:eastAsia="Arial" w:hAnsi="Arial" w:cs="Arial"/>
                <w:b/>
                <w:bCs/>
                <w:color w:val="000000" w:themeColor="text1"/>
                <w:sz w:val="22"/>
                <w:szCs w:val="22"/>
              </w:rPr>
            </w:pPr>
            <w:r w:rsidRPr="0843B3CC">
              <w:rPr>
                <w:rFonts w:ascii="Arial" w:eastAsia="Arial" w:hAnsi="Arial" w:cs="Arial"/>
                <w:b/>
                <w:bCs/>
                <w:color w:val="000000" w:themeColor="text1"/>
                <w:sz w:val="22"/>
                <w:szCs w:val="22"/>
              </w:rPr>
              <w:t>311,29</w:t>
            </w:r>
          </w:p>
        </w:tc>
      </w:tr>
      <w:tr w:rsidR="00381DC1" w:rsidRPr="00B33D70" w14:paraId="06167AE4" w14:textId="77777777" w:rsidTr="0843B3CC">
        <w:trPr>
          <w:trHeight w:hRule="exact" w:val="296"/>
        </w:trPr>
        <w:tc>
          <w:tcPr>
            <w:tcW w:w="5385" w:type="dxa"/>
            <w:tcBorders>
              <w:top w:val="single" w:sz="6" w:space="0" w:color="000000" w:themeColor="text1"/>
              <w:left w:val="single" w:sz="8" w:space="0" w:color="000000" w:themeColor="text1"/>
              <w:bottom w:val="single" w:sz="6" w:space="0" w:color="000000" w:themeColor="text1"/>
              <w:right w:val="single" w:sz="8" w:space="0" w:color="000000" w:themeColor="text1"/>
            </w:tcBorders>
            <w:hideMark/>
          </w:tcPr>
          <w:p w14:paraId="2F7B086A" w14:textId="77777777" w:rsidR="00381DC1" w:rsidRPr="000A1E33" w:rsidRDefault="00381DC1">
            <w:pPr>
              <w:spacing w:before="23" w:line="276" w:lineRule="auto"/>
              <w:ind w:left="611"/>
              <w:rPr>
                <w:rFonts w:ascii="Arial" w:eastAsia="Arial" w:hAnsi="Arial" w:cs="Arial"/>
                <w:sz w:val="22"/>
                <w:szCs w:val="22"/>
                <w:lang w:val="es-ES"/>
              </w:rPr>
            </w:pPr>
            <w:r w:rsidRPr="000A1E33">
              <w:rPr>
                <w:rFonts w:ascii="Arial" w:hAnsi="Arial" w:cs="Arial"/>
                <w:color w:val="000000"/>
                <w:sz w:val="22"/>
                <w:szCs w:val="22"/>
                <w:lang w:val="es-ES"/>
              </w:rPr>
              <w:t>    </w:t>
            </w:r>
            <w:r w:rsidRPr="000A1E33">
              <w:rPr>
                <w:rFonts w:ascii="Arial" w:hAnsi="Arial" w:cs="Arial"/>
                <w:color w:val="000000"/>
                <w:lang w:val="es-ES"/>
              </w:rPr>
              <w:t xml:space="preserve">  </w:t>
            </w:r>
            <w:r w:rsidRPr="000A1E33">
              <w:rPr>
                <w:rFonts w:ascii="Arial" w:hAnsi="Arial" w:cs="Arial"/>
                <w:color w:val="000000"/>
                <w:sz w:val="22"/>
                <w:szCs w:val="22"/>
                <w:lang w:val="es-ES"/>
              </w:rPr>
              <w:t>Crédito</w:t>
            </w:r>
          </w:p>
        </w:tc>
        <w:tc>
          <w:tcPr>
            <w:tcW w:w="1245"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3446FA75" w14:textId="22E6B27F"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8.732,14</w:t>
            </w:r>
          </w:p>
        </w:tc>
        <w:tc>
          <w:tcPr>
            <w:tcW w:w="1369"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39843F7C" w14:textId="09A92C99"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9.019,39</w:t>
            </w:r>
          </w:p>
        </w:tc>
        <w:tc>
          <w:tcPr>
            <w:tcW w:w="1556" w:type="dxa"/>
            <w:tcBorders>
              <w:top w:val="single" w:sz="6" w:space="0" w:color="000000" w:themeColor="text1"/>
              <w:left w:val="single" w:sz="8" w:space="0" w:color="000000" w:themeColor="text1"/>
              <w:bottom w:val="single" w:sz="6" w:space="0" w:color="000000" w:themeColor="text1"/>
              <w:right w:val="single" w:sz="8" w:space="0" w:color="000000" w:themeColor="text1"/>
            </w:tcBorders>
            <w:vAlign w:val="center"/>
            <w:hideMark/>
          </w:tcPr>
          <w:p w14:paraId="184BFB24" w14:textId="1B2DAD9D"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287,25</w:t>
            </w:r>
          </w:p>
        </w:tc>
      </w:tr>
      <w:tr w:rsidR="00381DC1" w:rsidRPr="00B33D70" w14:paraId="4007BEAB" w14:textId="77777777" w:rsidTr="0843B3CC">
        <w:trPr>
          <w:trHeight w:hRule="exact" w:val="316"/>
        </w:trPr>
        <w:tc>
          <w:tcPr>
            <w:tcW w:w="5385" w:type="dxa"/>
            <w:tcBorders>
              <w:top w:val="single" w:sz="6" w:space="0" w:color="000000" w:themeColor="text1"/>
              <w:left w:val="single" w:sz="8" w:space="0" w:color="000000" w:themeColor="text1"/>
              <w:bottom w:val="single" w:sz="8" w:space="0" w:color="000000" w:themeColor="text1"/>
              <w:right w:val="single" w:sz="8" w:space="0" w:color="000000" w:themeColor="text1"/>
            </w:tcBorders>
            <w:hideMark/>
          </w:tcPr>
          <w:p w14:paraId="27752CB6" w14:textId="77777777" w:rsidR="00381DC1" w:rsidRPr="000A1E33" w:rsidRDefault="00381DC1">
            <w:pPr>
              <w:spacing w:before="30" w:line="276" w:lineRule="auto"/>
              <w:ind w:left="611"/>
              <w:rPr>
                <w:rFonts w:ascii="Arial" w:eastAsia="Arial" w:hAnsi="Arial" w:cs="Arial"/>
                <w:sz w:val="22"/>
                <w:szCs w:val="22"/>
                <w:lang w:val="es-ES"/>
              </w:rPr>
            </w:pPr>
            <w:r w:rsidRPr="000A1E33">
              <w:rPr>
                <w:rFonts w:ascii="Arial" w:hAnsi="Arial" w:cs="Arial"/>
                <w:color w:val="000000"/>
                <w:sz w:val="22"/>
                <w:szCs w:val="22"/>
                <w:lang w:val="es-ES"/>
              </w:rPr>
              <w:t>      Débito</w:t>
            </w:r>
          </w:p>
        </w:tc>
        <w:tc>
          <w:tcPr>
            <w:tcW w:w="1245" w:type="dxa"/>
            <w:tcBorders>
              <w:top w:val="single" w:sz="6"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22F748E" w14:textId="6F986737"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734,93</w:t>
            </w:r>
          </w:p>
        </w:tc>
        <w:tc>
          <w:tcPr>
            <w:tcW w:w="1369" w:type="dxa"/>
            <w:tcBorders>
              <w:top w:val="single" w:sz="6"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F682944" w14:textId="20064841"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710,89</w:t>
            </w:r>
          </w:p>
        </w:tc>
        <w:tc>
          <w:tcPr>
            <w:tcW w:w="1556" w:type="dxa"/>
            <w:tcBorders>
              <w:top w:val="single" w:sz="6"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673E58B" w14:textId="3F702A26" w:rsidR="0843B3CC" w:rsidRDefault="0843B3CC" w:rsidP="0843B3CC">
            <w:pPr>
              <w:rPr>
                <w:rFonts w:ascii="Arial" w:eastAsia="Arial" w:hAnsi="Arial" w:cs="Arial"/>
                <w:color w:val="000000" w:themeColor="text1"/>
                <w:sz w:val="22"/>
                <w:szCs w:val="22"/>
              </w:rPr>
            </w:pPr>
            <w:r w:rsidRPr="0843B3CC">
              <w:rPr>
                <w:rFonts w:ascii="Arial" w:eastAsia="Arial" w:hAnsi="Arial" w:cs="Arial"/>
                <w:color w:val="000000" w:themeColor="text1"/>
                <w:sz w:val="22"/>
                <w:szCs w:val="22"/>
              </w:rPr>
              <w:t>-24,04</w:t>
            </w:r>
          </w:p>
        </w:tc>
      </w:tr>
    </w:tbl>
    <w:p w14:paraId="4A558738" w14:textId="7CB96EEC" w:rsidR="001E557D" w:rsidRDefault="00381DC1" w:rsidP="00E330B0">
      <w:pPr>
        <w:spacing w:line="276" w:lineRule="auto"/>
        <w:rPr>
          <w:rFonts w:ascii="Arial" w:hAnsi="Arial" w:cs="Arial"/>
          <w:color w:val="000000"/>
          <w:sz w:val="22"/>
          <w:szCs w:val="22"/>
          <w:lang w:val="es-ES"/>
        </w:rPr>
      </w:pPr>
      <w:r w:rsidRPr="00E330B0">
        <w:rPr>
          <w:rFonts w:ascii="Arial" w:hAnsi="Arial" w:cs="Arial"/>
          <w:b/>
          <w:bCs/>
          <w:color w:val="000000"/>
          <w:sz w:val="22"/>
          <w:szCs w:val="22"/>
          <w:lang w:val="es-ES"/>
        </w:rPr>
        <w:t>Fuente</w:t>
      </w:r>
      <w:r w:rsidRPr="00E330B0">
        <w:rPr>
          <w:rFonts w:ascii="Arial" w:hAnsi="Arial" w:cs="Arial"/>
          <w:color w:val="000000"/>
          <w:sz w:val="22"/>
          <w:szCs w:val="22"/>
          <w:lang w:val="es-ES"/>
        </w:rPr>
        <w:t>: Banco de la República Balanza de Pagos (</w:t>
      </w:r>
      <w:r w:rsidR="000250AC">
        <w:rPr>
          <w:rFonts w:ascii="Arial" w:hAnsi="Arial" w:cs="Arial"/>
          <w:color w:val="000000"/>
          <w:sz w:val="22"/>
          <w:szCs w:val="22"/>
          <w:lang w:val="es-ES"/>
        </w:rPr>
        <w:t>2025b</w:t>
      </w:r>
      <w:r w:rsidRPr="00E330B0">
        <w:rPr>
          <w:rFonts w:ascii="Arial" w:hAnsi="Arial" w:cs="Arial"/>
          <w:color w:val="000000"/>
          <w:sz w:val="22"/>
          <w:szCs w:val="22"/>
          <w:lang w:val="es-ES"/>
        </w:rPr>
        <w:t>).</w:t>
      </w:r>
    </w:p>
    <w:p w14:paraId="4BF526A6" w14:textId="77777777" w:rsidR="00CE455A" w:rsidRDefault="00CE455A" w:rsidP="00E330B0">
      <w:pPr>
        <w:spacing w:line="276" w:lineRule="auto"/>
        <w:rPr>
          <w:rFonts w:ascii="Arial" w:hAnsi="Arial" w:cs="Arial"/>
          <w:color w:val="000000"/>
          <w:sz w:val="22"/>
          <w:szCs w:val="22"/>
          <w:lang w:val="es-ES"/>
        </w:rPr>
      </w:pPr>
    </w:p>
    <w:p w14:paraId="0A875527" w14:textId="6EC250B4" w:rsidR="00CE455A" w:rsidRPr="00E330B0" w:rsidRDefault="00CE455A" w:rsidP="00E330B0">
      <w:pPr>
        <w:spacing w:line="276" w:lineRule="auto"/>
        <w:rPr>
          <w:rFonts w:ascii="Arial" w:hAnsi="Arial" w:cs="Arial"/>
          <w:color w:val="000000"/>
          <w:sz w:val="22"/>
          <w:szCs w:val="22"/>
          <w:lang w:val="es-ES"/>
        </w:rPr>
      </w:pPr>
      <w:r>
        <w:rPr>
          <w:rFonts w:ascii="Arial" w:hAnsi="Arial" w:cs="Arial"/>
          <w:color w:val="000000"/>
          <w:sz w:val="22"/>
          <w:szCs w:val="22"/>
          <w:lang w:val="es-ES"/>
        </w:rPr>
        <w:t>texto</w:t>
      </w:r>
    </w:p>
    <w:p w14:paraId="6C1609E5" w14:textId="77777777" w:rsidR="00CE455A" w:rsidRDefault="00CE455A" w:rsidP="00372BDF">
      <w:pPr>
        <w:spacing w:after="160" w:line="259" w:lineRule="auto"/>
        <w:rPr>
          <w:rFonts w:ascii="Arial" w:hAnsi="Arial" w:cs="Arial"/>
          <w:b/>
          <w:bCs/>
          <w:color w:val="000000"/>
          <w:sz w:val="22"/>
          <w:szCs w:val="22"/>
          <w:lang w:val="es-ES"/>
        </w:rPr>
      </w:pPr>
    </w:p>
    <w:p w14:paraId="5AB1AD86" w14:textId="77777777" w:rsidR="00CE455A" w:rsidRDefault="00CE455A" w:rsidP="00372BDF">
      <w:pPr>
        <w:spacing w:after="160" w:line="259" w:lineRule="auto"/>
        <w:rPr>
          <w:rFonts w:ascii="Arial" w:hAnsi="Arial" w:cs="Arial"/>
          <w:b/>
          <w:bCs/>
          <w:color w:val="000000"/>
          <w:sz w:val="22"/>
          <w:szCs w:val="22"/>
          <w:lang w:val="es-ES"/>
        </w:rPr>
      </w:pPr>
    </w:p>
    <w:p w14:paraId="5EB4D90A" w14:textId="5949593C" w:rsidR="00941EF3" w:rsidRDefault="00FC5ECC" w:rsidP="00372BDF">
      <w:pPr>
        <w:spacing w:after="160" w:line="259" w:lineRule="auto"/>
        <w:rPr>
          <w:rFonts w:ascii="Arial" w:hAnsi="Arial" w:cs="Arial"/>
          <w:b/>
          <w:bCs/>
          <w:color w:val="000000"/>
          <w:sz w:val="22"/>
          <w:szCs w:val="22"/>
          <w:lang w:val="es-ES"/>
        </w:rPr>
      </w:pPr>
      <w:r w:rsidRPr="4E0ADCDF">
        <w:rPr>
          <w:rFonts w:ascii="Arial" w:hAnsi="Arial" w:cs="Arial"/>
          <w:b/>
          <w:bCs/>
          <w:color w:val="000000" w:themeColor="text1"/>
          <w:sz w:val="22"/>
          <w:szCs w:val="22"/>
          <w:lang w:val="es-ES"/>
        </w:rPr>
        <w:br w:type="page"/>
      </w:r>
    </w:p>
    <w:p w14:paraId="3CA76093" w14:textId="47B3CC59" w:rsidR="390CB645" w:rsidRDefault="390CB645" w:rsidP="4E0ADCDF">
      <w:pPr>
        <w:spacing w:after="160" w:line="276" w:lineRule="auto"/>
      </w:pPr>
      <w:r w:rsidRPr="4E0ADCDF">
        <w:rPr>
          <w:rFonts w:ascii="Arial" w:eastAsia="Arial" w:hAnsi="Arial" w:cs="Arial"/>
          <w:b/>
          <w:bCs/>
          <w:color w:val="000000" w:themeColor="text1"/>
          <w:lang w:val="es"/>
        </w:rPr>
        <w:lastRenderedPageBreak/>
        <w:t>Cuenta Financiera</w:t>
      </w:r>
    </w:p>
    <w:p w14:paraId="537F2D67" w14:textId="133C1D29" w:rsidR="390CB645" w:rsidRDefault="390CB645" w:rsidP="4E0ADCDF">
      <w:pPr>
        <w:spacing w:after="160" w:line="276" w:lineRule="auto"/>
      </w:pPr>
      <w:r w:rsidRPr="67C09ACE">
        <w:rPr>
          <w:rFonts w:ascii="Arial" w:eastAsia="Arial" w:hAnsi="Arial" w:cs="Arial"/>
          <w:color w:val="000000" w:themeColor="text1"/>
          <w:lang w:val="es-ES"/>
        </w:rPr>
        <w:t xml:space="preserve">Tras los picos registrados en 2022, cuando las entradas netas de capital llegaron a representar hasta 6,5% del PIB para financiar el amplio déficit en cuenta corriente, la cuenta financiera se estabilizó desde el segundo semestre de 2023 en un rango de entre 1% y 2% del PIB (figura 3). </w:t>
      </w:r>
      <w:r w:rsidR="0090610B" w:rsidRPr="67C09ACE">
        <w:rPr>
          <w:rFonts w:ascii="Arial" w:eastAsia="Arial" w:hAnsi="Arial" w:cs="Arial"/>
          <w:color w:val="000000" w:themeColor="text1"/>
          <w:lang w:val="es-ES"/>
        </w:rPr>
        <w:t>Sin embargo, e</w:t>
      </w:r>
      <w:r w:rsidRPr="67C09ACE">
        <w:rPr>
          <w:rFonts w:ascii="Arial" w:eastAsia="Arial" w:hAnsi="Arial" w:cs="Arial"/>
          <w:color w:val="000000" w:themeColor="text1"/>
          <w:lang w:val="es-ES"/>
        </w:rPr>
        <w:t>sta estabilidad comenzó a romperse a lo largo de 2025, cuando las entradas netas aumentaron trimestre a trimestre hasta ubicarse en 2,5% del PIB al cierre del año, de la mano de un déficit corriente cada vez más amplio.</w:t>
      </w:r>
    </w:p>
    <w:p w14:paraId="5ABE5E29" w14:textId="3DBEE27E" w:rsidR="390CB645" w:rsidRDefault="390CB645" w:rsidP="4E0ADCDF">
      <w:pPr>
        <w:spacing w:after="160" w:line="276" w:lineRule="auto"/>
      </w:pPr>
      <w:r w:rsidRPr="4E0ADCDF">
        <w:rPr>
          <w:rFonts w:ascii="Arial" w:eastAsia="Arial" w:hAnsi="Arial" w:cs="Arial"/>
          <w:color w:val="000000" w:themeColor="text1"/>
          <w:lang w:val="es"/>
        </w:rPr>
        <w:t>El primer semestre de 2026, sin embargo, mostró una dinámica más volátil. En el primer trimestre, la cuenta financiera registró entradas netas de apenas US$ 546 m (0,4% del PIB), el registro más bajo del periodo analizado, mientras que en el segundo trimestre repuntó a US$ 3.719 m (2,8% del PIB), su mayor nivel como proporción del producto desde el segundo trimestre de 2023 (Banco de la República, 2026a).</w:t>
      </w:r>
    </w:p>
    <w:p w14:paraId="72E3F76D" w14:textId="585D79B8" w:rsidR="54258D00" w:rsidRDefault="54258D00" w:rsidP="71E35AF8">
      <w:pPr>
        <w:spacing w:line="276" w:lineRule="auto"/>
      </w:pPr>
      <w:r w:rsidRPr="222109FB">
        <w:rPr>
          <w:rFonts w:ascii="Arial" w:eastAsia="Arial" w:hAnsi="Arial" w:cs="Arial"/>
          <w:b/>
          <w:bCs/>
          <w:color w:val="000000" w:themeColor="text1"/>
          <w:lang w:val="es"/>
        </w:rPr>
        <w:t>Figura 3. Cuenta financiera trimestral T1 202</w:t>
      </w:r>
      <w:r w:rsidR="00D02706">
        <w:rPr>
          <w:rFonts w:ascii="Arial" w:eastAsia="Arial" w:hAnsi="Arial" w:cs="Arial"/>
          <w:b/>
          <w:bCs/>
          <w:color w:val="000000" w:themeColor="text1"/>
          <w:lang w:val="es"/>
        </w:rPr>
        <w:t>2</w:t>
      </w:r>
      <w:r w:rsidRPr="222109FB">
        <w:rPr>
          <w:rFonts w:ascii="Arial" w:eastAsia="Arial" w:hAnsi="Arial" w:cs="Arial"/>
          <w:b/>
          <w:bCs/>
          <w:color w:val="000000" w:themeColor="text1"/>
          <w:lang w:val="es"/>
        </w:rPr>
        <w:t xml:space="preserve"> – T2 2026 (millones de dólares y % del PIB)</w:t>
      </w:r>
    </w:p>
    <w:p w14:paraId="3AE346A5" w14:textId="33286E04" w:rsidR="222109FB" w:rsidRDefault="002139BC" w:rsidP="222109FB">
      <w:pPr>
        <w:spacing w:before="240" w:after="240" w:line="276" w:lineRule="auto"/>
        <w:jc w:val="center"/>
        <w:rPr>
          <w:rFonts w:ascii="Arial" w:eastAsia="Arial" w:hAnsi="Arial" w:cs="Arial"/>
          <w:i/>
          <w:iCs/>
          <w:lang w:val="es-ES"/>
        </w:rPr>
      </w:pPr>
      <w:r>
        <w:rPr>
          <w:noProof/>
          <w14:ligatures w14:val="standardContextual"/>
        </w:rPr>
        <w:drawing>
          <wp:inline distT="0" distB="0" distL="0" distR="0" wp14:anchorId="31114E52" wp14:editId="27A5BEFE">
            <wp:extent cx="5943600" cy="4311015"/>
            <wp:effectExtent l="0" t="0" r="12700" b="6985"/>
            <wp:docPr id="2" name="Gráfico 2">
              <a:extLst xmlns:a="http://schemas.openxmlformats.org/drawingml/2006/main">
                <a:ext uri="{FF2B5EF4-FFF2-40B4-BE49-F238E27FC236}">
                  <a16:creationId xmlns:a16="http://schemas.microsoft.com/office/drawing/2014/main" id="{54B3D5C8-6DA6-ED74-817A-C05C606A10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08CFEC2" w14:textId="58738E62" w:rsidR="54258D00" w:rsidRDefault="54258D00" w:rsidP="71E35AF8">
      <w:pPr>
        <w:spacing w:line="276" w:lineRule="auto"/>
      </w:pPr>
      <w:r w:rsidRPr="71E35AF8">
        <w:rPr>
          <w:rFonts w:ascii="Arial" w:eastAsia="Arial" w:hAnsi="Arial" w:cs="Arial"/>
          <w:b/>
          <w:bCs/>
          <w:color w:val="000000" w:themeColor="text1"/>
          <w:lang w:val="es"/>
        </w:rPr>
        <w:lastRenderedPageBreak/>
        <w:t>Fuente:</w:t>
      </w:r>
      <w:r w:rsidRPr="71E35AF8">
        <w:rPr>
          <w:rFonts w:ascii="Arial" w:eastAsia="Arial" w:hAnsi="Arial" w:cs="Arial"/>
          <w:color w:val="000000" w:themeColor="text1"/>
          <w:lang w:val="es"/>
        </w:rPr>
        <w:t xml:space="preserve"> Elaboración propia con datos del Banco de la República (2026b).</w:t>
      </w:r>
    </w:p>
    <w:p w14:paraId="16F70869" w14:textId="5535D7FB" w:rsidR="6FC72643" w:rsidRDefault="6FC72643" w:rsidP="4E0ADCDF">
      <w:pPr>
        <w:spacing w:after="160" w:line="276" w:lineRule="auto"/>
      </w:pPr>
      <w:r w:rsidRPr="4E0ADCDF">
        <w:rPr>
          <w:rFonts w:ascii="Arial" w:eastAsia="Arial" w:hAnsi="Arial" w:cs="Arial"/>
          <w:color w:val="000000" w:themeColor="text1"/>
          <w:lang w:val="es-ES"/>
        </w:rPr>
        <w:t>Profundizando en el análisis trimestral, entre abril y junio de 2026 la cuenta financiera, incluida la variación de las reservas internacionales, registró entradas netas de capital por US$ 3.719 m. Esta cifra fue casi siete veces la del primer trimestre (US$ 546 m) y casi el doble de la del mismo trimestre de 2025 (US$ 1.893 m), mientras el déficit corriente se amplió a 3,5% del PIB (Banco de la República, 2026a). Por rubros, la inversión directa aportó entradas netas por US$ 3.188 m. La inversión extranjera directa (IED) sumó US$ 4.182 m, superior a todos los flujos trimestrales de 2025, y se explicó principalmente por nuevos aportes de capital de casas matrices extranjeras (US$ 2.390 m, 52% más que en el primer trimestre), seguidos por la reinversión de utilidades (US$ 1.296 m) y los préstamos de las matrices a sus filiales en Colombia (US$ 496 m). Otra inversión registró entradas por US$ 6.930 m y los derivados financieros por US$ 804 m. La inversión de cartera, en cambio, que había sido la principal fuente de financiamiento externo durante 2025, pasó a registrar una salida neta de US$ 6.653 m, y las reservas internacionales aumentaron US$ 550 m (Banco de la República, 2026b).</w:t>
      </w:r>
    </w:p>
    <w:p w14:paraId="73B417DE" w14:textId="72B6EF32" w:rsidR="6FC72643" w:rsidRDefault="6FC72643" w:rsidP="4E0ADCDF">
      <w:pPr>
        <w:spacing w:after="160" w:line="276" w:lineRule="auto"/>
      </w:pPr>
      <w:r w:rsidRPr="4E0ADCDF">
        <w:rPr>
          <w:rFonts w:ascii="Arial" w:eastAsia="Arial" w:hAnsi="Arial" w:cs="Arial"/>
          <w:color w:val="000000" w:themeColor="text1"/>
          <w:lang w:val="es-ES"/>
        </w:rPr>
        <w:t>Sin embargo, el aumento de la cuenta financiera no obedeció a una mayor llegada de capitales, sino a una recomposición de los activos y pasivos externos del Gobierno general. En el segundo trimestre se registraron los valores más extremos de la serie disponible desde el año 2000 en las amortizaciones netas de bonos del Gobierno en los mercados internacionales (US$ 10.314 m) y en la reducción de sus depósitos en el exterior (US$ 4.234 m) (Banco de la República, 2026b). Estos movimientos cierran un ciclo de prefinanciamiento: entre el segundo trimestre de 2025 y el primero de 2026, el Gobierno emitió en términos netos US$ 7.550 m en bonos externos y acumuló US$ 4.939 m en depósitos en el exterior, recursos que luego utilizó para recomprar deuda, como lo confirmó el Ministerio de Hacienda y Crédito Público (2026). En consecuencia, el mayor déficit corriente se financió principalmente con la liquidación de activos de residentes en el exterior (US$ 6.149 m), y no con nuevos pasivos externos, que de hecho se redujeron en US$ 2.683 m (Banco de la República, 2026a).</w:t>
      </w:r>
    </w:p>
    <w:p w14:paraId="220F62A3" w14:textId="6B510CD1" w:rsidR="00923BDC" w:rsidRDefault="00922E47" w:rsidP="00B33D70">
      <w:pPr>
        <w:pStyle w:val="NormalWeb"/>
        <w:spacing w:before="240" w:beforeAutospacing="0" w:after="240" w:afterAutospacing="0" w:line="276" w:lineRule="auto"/>
        <w:rPr>
          <w:rFonts w:ascii="Arial" w:hAnsi="Arial" w:cs="Arial"/>
          <w:b/>
          <w:bCs/>
          <w:color w:val="000000"/>
          <w:sz w:val="22"/>
          <w:szCs w:val="22"/>
          <w:lang w:val="es-ES"/>
        </w:rPr>
      </w:pPr>
      <w:r w:rsidRPr="00B33D70">
        <w:rPr>
          <w:rFonts w:ascii="Arial" w:hAnsi="Arial" w:cs="Arial"/>
          <w:b/>
          <w:bCs/>
          <w:color w:val="000000"/>
          <w:sz w:val="22"/>
          <w:szCs w:val="22"/>
          <w:lang w:val="es-ES"/>
        </w:rPr>
        <w:t>Tabla 2. Cuenta Financiera semestral S1 2025 – S1 2026 (millones de dólares)</w:t>
      </w:r>
    </w:p>
    <w:tbl>
      <w:tblPr>
        <w:tblStyle w:val="Tablaconcuadrcula"/>
        <w:tblW w:w="9634" w:type="dxa"/>
        <w:tblLook w:val="04A0" w:firstRow="1" w:lastRow="0" w:firstColumn="1" w:lastColumn="0" w:noHBand="0" w:noVBand="1"/>
      </w:tblPr>
      <w:tblGrid>
        <w:gridCol w:w="4673"/>
        <w:gridCol w:w="1443"/>
        <w:gridCol w:w="1484"/>
        <w:gridCol w:w="2034"/>
      </w:tblGrid>
      <w:tr w:rsidR="00D76699" w:rsidRPr="00F05048" w14:paraId="3600684D" w14:textId="77777777" w:rsidTr="0843B3CC">
        <w:trPr>
          <w:trHeight w:val="320"/>
        </w:trPr>
        <w:tc>
          <w:tcPr>
            <w:tcW w:w="4673" w:type="dxa"/>
            <w:noWrap/>
            <w:hideMark/>
          </w:tcPr>
          <w:p w14:paraId="6D6F78F2" w14:textId="77777777" w:rsidR="00D76699" w:rsidRPr="00F05048" w:rsidRDefault="00D76699">
            <w:pPr>
              <w:pStyle w:val="NormalWeb"/>
              <w:spacing w:before="240" w:after="240" w:line="276" w:lineRule="auto"/>
              <w:jc w:val="both"/>
              <w:rPr>
                <w:rFonts w:ascii="Arial" w:hAnsi="Arial" w:cs="Arial"/>
                <w:b/>
                <w:bCs/>
                <w:sz w:val="22"/>
                <w:szCs w:val="22"/>
              </w:rPr>
            </w:pPr>
            <w:r w:rsidRPr="00F05048">
              <w:rPr>
                <w:rFonts w:ascii="Arial" w:hAnsi="Arial" w:cs="Arial"/>
                <w:b/>
                <w:bCs/>
                <w:sz w:val="22"/>
                <w:szCs w:val="22"/>
              </w:rPr>
              <w:t>Periodo</w:t>
            </w:r>
          </w:p>
        </w:tc>
        <w:tc>
          <w:tcPr>
            <w:tcW w:w="1443" w:type="dxa"/>
            <w:noWrap/>
            <w:hideMark/>
          </w:tcPr>
          <w:p w14:paraId="687FD4D9" w14:textId="75798708" w:rsidR="00D76699" w:rsidRPr="00F05048" w:rsidRDefault="00D76699">
            <w:pPr>
              <w:pStyle w:val="NormalWeb"/>
              <w:spacing w:before="240" w:after="240" w:line="276" w:lineRule="auto"/>
              <w:jc w:val="both"/>
              <w:rPr>
                <w:rFonts w:ascii="Arial" w:hAnsi="Arial" w:cs="Arial"/>
                <w:b/>
                <w:bCs/>
                <w:sz w:val="22"/>
                <w:szCs w:val="22"/>
              </w:rPr>
            </w:pPr>
            <w:r w:rsidRPr="0843B3CC">
              <w:rPr>
                <w:rFonts w:ascii="Arial" w:hAnsi="Arial" w:cs="Arial"/>
                <w:b/>
                <w:bCs/>
                <w:sz w:val="22"/>
                <w:szCs w:val="22"/>
              </w:rPr>
              <w:t>S1 202</w:t>
            </w:r>
            <w:r w:rsidR="106F9963" w:rsidRPr="0843B3CC">
              <w:rPr>
                <w:rFonts w:ascii="Arial" w:hAnsi="Arial" w:cs="Arial"/>
                <w:b/>
                <w:bCs/>
                <w:sz w:val="22"/>
                <w:szCs w:val="22"/>
              </w:rPr>
              <w:t>5</w:t>
            </w:r>
            <w:r w:rsidRPr="0843B3CC">
              <w:rPr>
                <w:rFonts w:ascii="Arial" w:hAnsi="Arial" w:cs="Arial"/>
                <w:b/>
                <w:bCs/>
                <w:sz w:val="22"/>
                <w:szCs w:val="22"/>
              </w:rPr>
              <w:t xml:space="preserve"> (p)</w:t>
            </w:r>
          </w:p>
        </w:tc>
        <w:tc>
          <w:tcPr>
            <w:tcW w:w="1484" w:type="dxa"/>
            <w:noWrap/>
            <w:hideMark/>
          </w:tcPr>
          <w:p w14:paraId="0B156945" w14:textId="5342F63A" w:rsidR="00D76699" w:rsidRPr="00F05048" w:rsidRDefault="00D76699">
            <w:pPr>
              <w:pStyle w:val="NormalWeb"/>
              <w:spacing w:before="240" w:after="240" w:line="276" w:lineRule="auto"/>
              <w:jc w:val="both"/>
              <w:rPr>
                <w:rFonts w:ascii="Arial" w:hAnsi="Arial" w:cs="Arial"/>
                <w:b/>
                <w:bCs/>
                <w:sz w:val="22"/>
                <w:szCs w:val="22"/>
              </w:rPr>
            </w:pPr>
            <w:r w:rsidRPr="0843B3CC">
              <w:rPr>
                <w:rFonts w:ascii="Arial" w:hAnsi="Arial" w:cs="Arial"/>
                <w:b/>
                <w:bCs/>
                <w:sz w:val="22"/>
                <w:szCs w:val="22"/>
              </w:rPr>
              <w:t>S1 202</w:t>
            </w:r>
            <w:r w:rsidR="4D3086BA" w:rsidRPr="0843B3CC">
              <w:rPr>
                <w:rFonts w:ascii="Arial" w:hAnsi="Arial" w:cs="Arial"/>
                <w:b/>
                <w:bCs/>
                <w:sz w:val="22"/>
                <w:szCs w:val="22"/>
              </w:rPr>
              <w:t>6</w:t>
            </w:r>
            <w:r w:rsidRPr="0843B3CC">
              <w:rPr>
                <w:rFonts w:ascii="Arial" w:hAnsi="Arial" w:cs="Arial"/>
                <w:b/>
                <w:bCs/>
                <w:sz w:val="22"/>
                <w:szCs w:val="22"/>
              </w:rPr>
              <w:t xml:space="preserve"> (pr)</w:t>
            </w:r>
          </w:p>
        </w:tc>
        <w:tc>
          <w:tcPr>
            <w:tcW w:w="2034" w:type="dxa"/>
            <w:noWrap/>
            <w:hideMark/>
          </w:tcPr>
          <w:p w14:paraId="4F7426C6" w14:textId="47761DE2" w:rsidR="00D76699" w:rsidRPr="00F05048" w:rsidRDefault="00D76699">
            <w:pPr>
              <w:pStyle w:val="NormalWeb"/>
              <w:spacing w:before="240" w:after="240" w:line="276" w:lineRule="auto"/>
              <w:jc w:val="both"/>
              <w:rPr>
                <w:rFonts w:ascii="Arial" w:hAnsi="Arial" w:cs="Arial"/>
                <w:b/>
                <w:bCs/>
                <w:sz w:val="22"/>
                <w:szCs w:val="22"/>
              </w:rPr>
            </w:pPr>
            <w:r w:rsidRPr="000A1E33">
              <w:rPr>
                <w:rFonts w:ascii="Arial" w:hAnsi="Arial" w:cs="Arial"/>
                <w:b/>
                <w:bCs/>
                <w:color w:val="000000"/>
                <w:sz w:val="22"/>
                <w:szCs w:val="22"/>
              </w:rPr>
              <w:t>Variación</w:t>
            </w:r>
            <w:r>
              <w:rPr>
                <w:rFonts w:ascii="Arial" w:hAnsi="Arial" w:cs="Arial"/>
                <w:b/>
                <w:bCs/>
                <w:color w:val="000000"/>
                <w:sz w:val="22"/>
                <w:szCs w:val="22"/>
              </w:rPr>
              <w:t xml:space="preserve"> </w:t>
            </w:r>
            <w:r w:rsidRPr="000A1E33">
              <w:rPr>
                <w:rFonts w:ascii="Arial" w:hAnsi="Arial" w:cs="Arial"/>
                <w:b/>
                <w:bCs/>
                <w:color w:val="000000"/>
                <w:sz w:val="22"/>
                <w:szCs w:val="22"/>
              </w:rPr>
              <w:t>(</w:t>
            </w:r>
            <w:r w:rsidR="00AE688E">
              <w:rPr>
                <w:rFonts w:ascii="Arial" w:hAnsi="Arial" w:cs="Arial"/>
                <w:b/>
                <w:bCs/>
                <w:color w:val="000000"/>
                <w:sz w:val="22"/>
                <w:szCs w:val="22"/>
              </w:rPr>
              <w:t>US</w:t>
            </w:r>
            <w:r w:rsidR="0025138A">
              <w:rPr>
                <w:rFonts w:ascii="Arial" w:hAnsi="Arial" w:cs="Arial"/>
                <w:b/>
                <w:bCs/>
                <w:color w:val="000000"/>
                <w:sz w:val="22"/>
                <w:szCs w:val="22"/>
              </w:rPr>
              <w:t>$</w:t>
            </w:r>
            <w:r w:rsidRPr="000A1E33">
              <w:rPr>
                <w:rFonts w:ascii="Arial" w:hAnsi="Arial" w:cs="Arial"/>
                <w:b/>
                <w:bCs/>
                <w:color w:val="000000"/>
                <w:sz w:val="22"/>
                <w:szCs w:val="22"/>
              </w:rPr>
              <w:t>)</w:t>
            </w:r>
            <w:r>
              <w:rPr>
                <w:rFonts w:ascii="Arial" w:hAnsi="Arial" w:cs="Arial"/>
                <w:b/>
                <w:bCs/>
                <w:color w:val="000000"/>
                <w:sz w:val="22"/>
                <w:szCs w:val="22"/>
              </w:rPr>
              <w:t xml:space="preserve"> </w:t>
            </w:r>
          </w:p>
        </w:tc>
      </w:tr>
      <w:tr w:rsidR="00D76699" w:rsidRPr="00F05048" w14:paraId="0B87CAD4" w14:textId="77777777" w:rsidTr="0843B3CC">
        <w:trPr>
          <w:trHeight w:val="320"/>
        </w:trPr>
        <w:tc>
          <w:tcPr>
            <w:tcW w:w="4673" w:type="dxa"/>
            <w:noWrap/>
            <w:hideMark/>
          </w:tcPr>
          <w:p w14:paraId="48AE1ACE" w14:textId="77777777" w:rsidR="00D76699" w:rsidRPr="00F05048" w:rsidRDefault="00D76699">
            <w:pPr>
              <w:pStyle w:val="NormalWeb"/>
              <w:spacing w:before="240" w:after="240" w:line="276" w:lineRule="auto"/>
              <w:jc w:val="both"/>
              <w:rPr>
                <w:rFonts w:ascii="Arial" w:hAnsi="Arial" w:cs="Arial"/>
                <w:b/>
                <w:bCs/>
                <w:sz w:val="22"/>
                <w:szCs w:val="22"/>
              </w:rPr>
            </w:pPr>
            <w:r w:rsidRPr="00F05048">
              <w:rPr>
                <w:rFonts w:ascii="Arial" w:hAnsi="Arial" w:cs="Arial"/>
                <w:b/>
                <w:bCs/>
                <w:sz w:val="22"/>
                <w:szCs w:val="22"/>
              </w:rPr>
              <w:t>Cuenta financiera</w:t>
            </w:r>
          </w:p>
        </w:tc>
        <w:tc>
          <w:tcPr>
            <w:tcW w:w="1443" w:type="dxa"/>
            <w:noWrap/>
            <w:hideMark/>
          </w:tcPr>
          <w:p w14:paraId="0536E765" w14:textId="17C4D5E8" w:rsidR="0843B3CC" w:rsidRDefault="0843B3CC" w:rsidP="0843B3CC">
            <w:r w:rsidRPr="0843B3CC">
              <w:rPr>
                <w:rFonts w:ascii="Arial" w:eastAsia="Arial" w:hAnsi="Arial" w:cs="Arial"/>
                <w:b/>
                <w:bCs/>
                <w:color w:val="000000" w:themeColor="text1"/>
                <w:sz w:val="22"/>
                <w:szCs w:val="22"/>
              </w:rPr>
              <w:t>-3.218,34</w:t>
            </w:r>
          </w:p>
        </w:tc>
        <w:tc>
          <w:tcPr>
            <w:tcW w:w="1484" w:type="dxa"/>
            <w:noWrap/>
            <w:hideMark/>
          </w:tcPr>
          <w:p w14:paraId="356730B5" w14:textId="0E5201B6" w:rsidR="0843B3CC" w:rsidRDefault="0843B3CC" w:rsidP="0843B3CC">
            <w:r w:rsidRPr="0843B3CC">
              <w:rPr>
                <w:rFonts w:ascii="Arial" w:eastAsia="Arial" w:hAnsi="Arial" w:cs="Arial"/>
                <w:b/>
                <w:bCs/>
                <w:color w:val="000000" w:themeColor="text1"/>
                <w:sz w:val="22"/>
                <w:szCs w:val="22"/>
              </w:rPr>
              <w:t>-</w:t>
            </w:r>
            <w:r w:rsidR="00613956">
              <w:rPr>
                <w:rFonts w:ascii="Arial" w:eastAsia="Arial" w:hAnsi="Arial" w:cs="Arial"/>
                <w:b/>
                <w:bCs/>
                <w:color w:val="000000" w:themeColor="text1"/>
                <w:sz w:val="22"/>
                <w:szCs w:val="22"/>
              </w:rPr>
              <w:t>4.265,36</w:t>
            </w:r>
          </w:p>
        </w:tc>
        <w:tc>
          <w:tcPr>
            <w:tcW w:w="2034" w:type="dxa"/>
            <w:noWrap/>
            <w:hideMark/>
          </w:tcPr>
          <w:p w14:paraId="0E8A6600" w14:textId="76007115" w:rsidR="0843B3CC" w:rsidRDefault="0843B3CC" w:rsidP="0843B3CC">
            <w:r w:rsidRPr="0843B3CC">
              <w:rPr>
                <w:rFonts w:ascii="Arial" w:eastAsia="Arial" w:hAnsi="Arial" w:cs="Arial"/>
                <w:b/>
                <w:bCs/>
                <w:color w:val="000000" w:themeColor="text1"/>
                <w:sz w:val="22"/>
                <w:szCs w:val="22"/>
              </w:rPr>
              <w:t>-</w:t>
            </w:r>
            <w:r w:rsidR="00613956">
              <w:rPr>
                <w:rFonts w:ascii="Arial" w:eastAsia="Arial" w:hAnsi="Arial" w:cs="Arial"/>
                <w:b/>
                <w:bCs/>
                <w:color w:val="000000" w:themeColor="text1"/>
                <w:sz w:val="22"/>
                <w:szCs w:val="22"/>
              </w:rPr>
              <w:t>1.047,02</w:t>
            </w:r>
          </w:p>
        </w:tc>
      </w:tr>
      <w:tr w:rsidR="00D76699" w:rsidRPr="00F05048" w14:paraId="0DE3961F" w14:textId="77777777" w:rsidTr="0843B3CC">
        <w:trPr>
          <w:trHeight w:val="320"/>
        </w:trPr>
        <w:tc>
          <w:tcPr>
            <w:tcW w:w="4673" w:type="dxa"/>
            <w:noWrap/>
            <w:hideMark/>
          </w:tcPr>
          <w:p w14:paraId="737CD0AC" w14:textId="77777777" w:rsidR="00D76699" w:rsidRPr="00F05048" w:rsidRDefault="00D76699">
            <w:pPr>
              <w:pStyle w:val="NormalWeb"/>
              <w:spacing w:before="240" w:after="240" w:line="276" w:lineRule="auto"/>
              <w:jc w:val="both"/>
              <w:rPr>
                <w:rFonts w:ascii="Arial" w:hAnsi="Arial" w:cs="Arial"/>
                <w:b/>
                <w:bCs/>
                <w:sz w:val="22"/>
                <w:szCs w:val="22"/>
              </w:rPr>
            </w:pPr>
            <w:r w:rsidRPr="00F05048">
              <w:rPr>
                <w:rFonts w:ascii="Arial" w:hAnsi="Arial" w:cs="Arial"/>
                <w:b/>
                <w:bCs/>
                <w:sz w:val="22"/>
                <w:szCs w:val="22"/>
              </w:rPr>
              <w:t>   Inversión directa</w:t>
            </w:r>
          </w:p>
        </w:tc>
        <w:tc>
          <w:tcPr>
            <w:tcW w:w="1443" w:type="dxa"/>
            <w:noWrap/>
            <w:hideMark/>
          </w:tcPr>
          <w:p w14:paraId="30E0A1BD" w14:textId="710984EC" w:rsidR="0843B3CC" w:rsidRDefault="0843B3CC" w:rsidP="0843B3CC">
            <w:r w:rsidRPr="0843B3CC">
              <w:rPr>
                <w:rFonts w:ascii="Arial" w:eastAsia="Arial" w:hAnsi="Arial" w:cs="Arial"/>
                <w:b/>
                <w:bCs/>
                <w:color w:val="000000" w:themeColor="text1"/>
                <w:sz w:val="22"/>
                <w:szCs w:val="22"/>
              </w:rPr>
              <w:t>-1.984,61</w:t>
            </w:r>
          </w:p>
        </w:tc>
        <w:tc>
          <w:tcPr>
            <w:tcW w:w="1484" w:type="dxa"/>
            <w:noWrap/>
            <w:hideMark/>
          </w:tcPr>
          <w:p w14:paraId="22D595FC" w14:textId="64909366" w:rsidR="0843B3CC" w:rsidRDefault="0843B3CC" w:rsidP="0843B3CC">
            <w:r w:rsidRPr="0843B3CC">
              <w:rPr>
                <w:rFonts w:ascii="Arial" w:eastAsia="Arial" w:hAnsi="Arial" w:cs="Arial"/>
                <w:b/>
                <w:bCs/>
                <w:color w:val="000000" w:themeColor="text1"/>
                <w:sz w:val="22"/>
                <w:szCs w:val="22"/>
              </w:rPr>
              <w:t>-6.747,98</w:t>
            </w:r>
          </w:p>
        </w:tc>
        <w:tc>
          <w:tcPr>
            <w:tcW w:w="2034" w:type="dxa"/>
            <w:noWrap/>
            <w:hideMark/>
          </w:tcPr>
          <w:p w14:paraId="30D9E03F" w14:textId="78BDF046" w:rsidR="0843B3CC" w:rsidRDefault="0843B3CC" w:rsidP="0843B3CC">
            <w:r w:rsidRPr="0843B3CC">
              <w:rPr>
                <w:rFonts w:ascii="Arial" w:eastAsia="Arial" w:hAnsi="Arial" w:cs="Arial"/>
                <w:b/>
                <w:bCs/>
                <w:color w:val="000000" w:themeColor="text1"/>
                <w:sz w:val="22"/>
                <w:szCs w:val="22"/>
              </w:rPr>
              <w:t>-4.763,37</w:t>
            </w:r>
          </w:p>
        </w:tc>
      </w:tr>
      <w:tr w:rsidR="00D76699" w:rsidRPr="00F05048" w14:paraId="7BF0B636" w14:textId="77777777" w:rsidTr="0843B3CC">
        <w:trPr>
          <w:trHeight w:val="320"/>
        </w:trPr>
        <w:tc>
          <w:tcPr>
            <w:tcW w:w="4673" w:type="dxa"/>
            <w:noWrap/>
            <w:hideMark/>
          </w:tcPr>
          <w:p w14:paraId="6F02D72F" w14:textId="77777777" w:rsidR="00D76699" w:rsidRPr="00F05048" w:rsidRDefault="00D76699">
            <w:pPr>
              <w:spacing w:before="23" w:after="160" w:line="276" w:lineRule="auto"/>
              <w:rPr>
                <w:rFonts w:ascii="Arial" w:eastAsia="Arial" w:hAnsi="Arial" w:cs="Arial"/>
                <w:spacing w:val="-1"/>
                <w:kern w:val="2"/>
                <w:sz w:val="22"/>
                <w:szCs w:val="22"/>
                <w:lang w:val="es-ES" w:eastAsia="en-US"/>
                <w14:ligatures w14:val="standardContextual"/>
              </w:rPr>
            </w:pPr>
            <w:r>
              <w:rPr>
                <w:rFonts w:ascii="Arial" w:eastAsia="Arial" w:hAnsi="Arial" w:cs="Arial"/>
                <w:spacing w:val="-1"/>
                <w:kern w:val="2"/>
                <w:sz w:val="22"/>
                <w:szCs w:val="22"/>
                <w:lang w:val="es-ES" w:eastAsia="en-US"/>
                <w14:ligatures w14:val="standardContextual"/>
              </w:rPr>
              <w:t xml:space="preserve">     </w:t>
            </w:r>
            <w:r w:rsidRPr="00F05048">
              <w:rPr>
                <w:rFonts w:ascii="Arial" w:eastAsia="Arial" w:hAnsi="Arial" w:cs="Arial"/>
                <w:spacing w:val="-1"/>
                <w:kern w:val="2"/>
                <w:sz w:val="22"/>
                <w:szCs w:val="22"/>
                <w:lang w:val="es-ES" w:eastAsia="en-US"/>
                <w14:ligatures w14:val="standardContextual"/>
              </w:rPr>
              <w:t>Adquisición neta de activos financieros</w:t>
            </w:r>
          </w:p>
        </w:tc>
        <w:tc>
          <w:tcPr>
            <w:tcW w:w="1443" w:type="dxa"/>
            <w:noWrap/>
            <w:hideMark/>
          </w:tcPr>
          <w:p w14:paraId="4A8462DD" w14:textId="7E6BBF5E" w:rsidR="0843B3CC" w:rsidRDefault="0843B3CC" w:rsidP="0843B3CC">
            <w:r w:rsidRPr="0843B3CC">
              <w:rPr>
                <w:rFonts w:ascii="Arial" w:eastAsia="Arial" w:hAnsi="Arial" w:cs="Arial"/>
                <w:color w:val="000000" w:themeColor="text1"/>
                <w:sz w:val="22"/>
                <w:szCs w:val="22"/>
              </w:rPr>
              <w:t>4.221,19</w:t>
            </w:r>
          </w:p>
        </w:tc>
        <w:tc>
          <w:tcPr>
            <w:tcW w:w="1484" w:type="dxa"/>
            <w:noWrap/>
            <w:hideMark/>
          </w:tcPr>
          <w:p w14:paraId="6F401522" w14:textId="2FFF9A9E" w:rsidR="0843B3CC" w:rsidRDefault="0843B3CC" w:rsidP="0843B3CC">
            <w:r w:rsidRPr="0843B3CC">
              <w:rPr>
                <w:rFonts w:ascii="Arial" w:eastAsia="Arial" w:hAnsi="Arial" w:cs="Arial"/>
                <w:color w:val="000000" w:themeColor="text1"/>
                <w:sz w:val="22"/>
                <w:szCs w:val="22"/>
              </w:rPr>
              <w:t>1.389,86</w:t>
            </w:r>
          </w:p>
        </w:tc>
        <w:tc>
          <w:tcPr>
            <w:tcW w:w="2034" w:type="dxa"/>
            <w:noWrap/>
            <w:hideMark/>
          </w:tcPr>
          <w:p w14:paraId="19086F31" w14:textId="4EB88805" w:rsidR="0843B3CC" w:rsidRDefault="0843B3CC" w:rsidP="0843B3CC">
            <w:r w:rsidRPr="0843B3CC">
              <w:rPr>
                <w:rFonts w:ascii="Arial" w:eastAsia="Arial" w:hAnsi="Arial" w:cs="Arial"/>
                <w:color w:val="000000" w:themeColor="text1"/>
                <w:sz w:val="22"/>
                <w:szCs w:val="22"/>
              </w:rPr>
              <w:t>-2.831,33</w:t>
            </w:r>
          </w:p>
        </w:tc>
      </w:tr>
      <w:tr w:rsidR="00D76699" w:rsidRPr="00F05048" w14:paraId="460731D0" w14:textId="77777777" w:rsidTr="0843B3CC">
        <w:trPr>
          <w:trHeight w:val="320"/>
        </w:trPr>
        <w:tc>
          <w:tcPr>
            <w:tcW w:w="4673" w:type="dxa"/>
            <w:noWrap/>
            <w:hideMark/>
          </w:tcPr>
          <w:p w14:paraId="5C8B1F6A" w14:textId="77777777" w:rsidR="00D76699" w:rsidRPr="00F05048" w:rsidRDefault="00D76699">
            <w:pPr>
              <w:pStyle w:val="NormalWeb"/>
              <w:spacing w:before="240" w:after="240" w:line="276" w:lineRule="auto"/>
              <w:jc w:val="both"/>
              <w:rPr>
                <w:rFonts w:ascii="Arial" w:hAnsi="Arial" w:cs="Arial"/>
                <w:sz w:val="22"/>
                <w:szCs w:val="22"/>
              </w:rPr>
            </w:pPr>
            <w:r w:rsidRPr="00F05048">
              <w:rPr>
                <w:rFonts w:ascii="Arial" w:hAnsi="Arial" w:cs="Arial"/>
                <w:sz w:val="22"/>
                <w:szCs w:val="22"/>
              </w:rPr>
              <w:t>     Pasivos netos incurridos</w:t>
            </w:r>
          </w:p>
        </w:tc>
        <w:tc>
          <w:tcPr>
            <w:tcW w:w="1443" w:type="dxa"/>
            <w:noWrap/>
            <w:hideMark/>
          </w:tcPr>
          <w:p w14:paraId="234EFEB5" w14:textId="5CDC3796" w:rsidR="0843B3CC" w:rsidRDefault="0843B3CC" w:rsidP="0843B3CC">
            <w:r w:rsidRPr="0843B3CC">
              <w:rPr>
                <w:rFonts w:ascii="Arial" w:eastAsia="Arial" w:hAnsi="Arial" w:cs="Arial"/>
                <w:color w:val="000000" w:themeColor="text1"/>
                <w:sz w:val="22"/>
                <w:szCs w:val="22"/>
              </w:rPr>
              <w:t>6.205,79</w:t>
            </w:r>
          </w:p>
        </w:tc>
        <w:tc>
          <w:tcPr>
            <w:tcW w:w="1484" w:type="dxa"/>
            <w:noWrap/>
            <w:hideMark/>
          </w:tcPr>
          <w:p w14:paraId="1DC829B5" w14:textId="34E10C72" w:rsidR="0843B3CC" w:rsidRDefault="0843B3CC" w:rsidP="0843B3CC">
            <w:r w:rsidRPr="0843B3CC">
              <w:rPr>
                <w:rFonts w:ascii="Arial" w:eastAsia="Arial" w:hAnsi="Arial" w:cs="Arial"/>
                <w:color w:val="000000" w:themeColor="text1"/>
                <w:sz w:val="22"/>
                <w:szCs w:val="22"/>
              </w:rPr>
              <w:t>8.137,84</w:t>
            </w:r>
          </w:p>
        </w:tc>
        <w:tc>
          <w:tcPr>
            <w:tcW w:w="2034" w:type="dxa"/>
            <w:noWrap/>
            <w:hideMark/>
          </w:tcPr>
          <w:p w14:paraId="60844F36" w14:textId="31B5641D" w:rsidR="0843B3CC" w:rsidRDefault="0843B3CC" w:rsidP="0843B3CC">
            <w:r w:rsidRPr="0843B3CC">
              <w:rPr>
                <w:rFonts w:ascii="Arial" w:eastAsia="Arial" w:hAnsi="Arial" w:cs="Arial"/>
                <w:color w:val="000000" w:themeColor="text1"/>
                <w:sz w:val="22"/>
                <w:szCs w:val="22"/>
              </w:rPr>
              <w:t>1.932,05</w:t>
            </w:r>
          </w:p>
        </w:tc>
      </w:tr>
      <w:tr w:rsidR="00D76699" w:rsidRPr="00F05048" w14:paraId="13DA7A12" w14:textId="77777777" w:rsidTr="0843B3CC">
        <w:trPr>
          <w:trHeight w:val="320"/>
        </w:trPr>
        <w:tc>
          <w:tcPr>
            <w:tcW w:w="4673" w:type="dxa"/>
            <w:noWrap/>
            <w:hideMark/>
          </w:tcPr>
          <w:p w14:paraId="1D0EDB65" w14:textId="77777777" w:rsidR="00D76699" w:rsidRPr="00F05048" w:rsidRDefault="00D76699">
            <w:pPr>
              <w:pStyle w:val="NormalWeb"/>
              <w:spacing w:before="240" w:after="240" w:line="276" w:lineRule="auto"/>
              <w:jc w:val="both"/>
              <w:rPr>
                <w:rFonts w:ascii="Arial" w:hAnsi="Arial" w:cs="Arial"/>
                <w:b/>
                <w:bCs/>
                <w:sz w:val="22"/>
                <w:szCs w:val="22"/>
              </w:rPr>
            </w:pPr>
            <w:r w:rsidRPr="00F05048">
              <w:rPr>
                <w:rFonts w:ascii="Arial" w:hAnsi="Arial" w:cs="Arial"/>
                <w:b/>
                <w:bCs/>
                <w:sz w:val="22"/>
                <w:szCs w:val="22"/>
              </w:rPr>
              <w:t>   Inversión de cartera</w:t>
            </w:r>
          </w:p>
        </w:tc>
        <w:tc>
          <w:tcPr>
            <w:tcW w:w="1443" w:type="dxa"/>
            <w:noWrap/>
            <w:hideMark/>
          </w:tcPr>
          <w:p w14:paraId="29501226" w14:textId="5C66BF0F" w:rsidR="0843B3CC" w:rsidRDefault="0843B3CC" w:rsidP="0843B3CC">
            <w:r w:rsidRPr="0843B3CC">
              <w:rPr>
                <w:rFonts w:ascii="Arial" w:eastAsia="Arial" w:hAnsi="Arial" w:cs="Arial"/>
                <w:b/>
                <w:bCs/>
                <w:color w:val="000000" w:themeColor="text1"/>
                <w:sz w:val="22"/>
                <w:szCs w:val="22"/>
              </w:rPr>
              <w:t>-2.377,85</w:t>
            </w:r>
          </w:p>
        </w:tc>
        <w:tc>
          <w:tcPr>
            <w:tcW w:w="1484" w:type="dxa"/>
            <w:noWrap/>
            <w:hideMark/>
          </w:tcPr>
          <w:p w14:paraId="5AB7652B" w14:textId="2C12AA17" w:rsidR="0843B3CC" w:rsidRDefault="0843B3CC" w:rsidP="0843B3CC">
            <w:r w:rsidRPr="0843B3CC">
              <w:rPr>
                <w:rFonts w:ascii="Arial" w:eastAsia="Arial" w:hAnsi="Arial" w:cs="Arial"/>
                <w:b/>
                <w:bCs/>
                <w:color w:val="000000" w:themeColor="text1"/>
                <w:sz w:val="22"/>
                <w:szCs w:val="22"/>
              </w:rPr>
              <w:t>5.621,43</w:t>
            </w:r>
          </w:p>
        </w:tc>
        <w:tc>
          <w:tcPr>
            <w:tcW w:w="2034" w:type="dxa"/>
            <w:noWrap/>
            <w:hideMark/>
          </w:tcPr>
          <w:p w14:paraId="4106CDA3" w14:textId="5004E548" w:rsidR="0843B3CC" w:rsidRDefault="0843B3CC" w:rsidP="0843B3CC">
            <w:r w:rsidRPr="0843B3CC">
              <w:rPr>
                <w:rFonts w:ascii="Arial" w:eastAsia="Arial" w:hAnsi="Arial" w:cs="Arial"/>
                <w:b/>
                <w:bCs/>
                <w:color w:val="000000" w:themeColor="text1"/>
                <w:sz w:val="22"/>
                <w:szCs w:val="22"/>
              </w:rPr>
              <w:t>7.999,28</w:t>
            </w:r>
          </w:p>
        </w:tc>
      </w:tr>
      <w:tr w:rsidR="00D76699" w:rsidRPr="00F05048" w14:paraId="40FD1205" w14:textId="77777777" w:rsidTr="0843B3CC">
        <w:trPr>
          <w:trHeight w:val="320"/>
        </w:trPr>
        <w:tc>
          <w:tcPr>
            <w:tcW w:w="4673" w:type="dxa"/>
            <w:noWrap/>
            <w:hideMark/>
          </w:tcPr>
          <w:p w14:paraId="3F89BF22" w14:textId="77777777" w:rsidR="00D76699" w:rsidRPr="00F05048" w:rsidRDefault="00D76699">
            <w:pPr>
              <w:pStyle w:val="NormalWeb"/>
              <w:spacing w:before="240" w:after="240" w:line="276" w:lineRule="auto"/>
              <w:jc w:val="both"/>
              <w:rPr>
                <w:rFonts w:ascii="Arial" w:hAnsi="Arial" w:cs="Arial"/>
                <w:sz w:val="22"/>
                <w:szCs w:val="22"/>
              </w:rPr>
            </w:pPr>
            <w:r w:rsidRPr="00F05048">
              <w:rPr>
                <w:rFonts w:ascii="Arial" w:hAnsi="Arial" w:cs="Arial"/>
                <w:sz w:val="22"/>
                <w:szCs w:val="22"/>
              </w:rPr>
              <w:t>     Adquisición neta de activos financieros</w:t>
            </w:r>
          </w:p>
        </w:tc>
        <w:tc>
          <w:tcPr>
            <w:tcW w:w="1443" w:type="dxa"/>
            <w:noWrap/>
            <w:hideMark/>
          </w:tcPr>
          <w:p w14:paraId="00A486F3" w14:textId="04DE9EE4" w:rsidR="0843B3CC" w:rsidRDefault="0843B3CC" w:rsidP="0843B3CC">
            <w:r w:rsidRPr="0843B3CC">
              <w:rPr>
                <w:rFonts w:ascii="Arial" w:eastAsia="Arial" w:hAnsi="Arial" w:cs="Arial"/>
                <w:color w:val="000000" w:themeColor="text1"/>
                <w:sz w:val="22"/>
                <w:szCs w:val="22"/>
              </w:rPr>
              <w:t>5.119,55</w:t>
            </w:r>
          </w:p>
        </w:tc>
        <w:tc>
          <w:tcPr>
            <w:tcW w:w="1484" w:type="dxa"/>
            <w:noWrap/>
            <w:hideMark/>
          </w:tcPr>
          <w:p w14:paraId="0A23EC76" w14:textId="2E766FCC" w:rsidR="0843B3CC" w:rsidRDefault="0843B3CC" w:rsidP="0843B3CC">
            <w:r w:rsidRPr="0843B3CC">
              <w:rPr>
                <w:rFonts w:ascii="Arial" w:eastAsia="Arial" w:hAnsi="Arial" w:cs="Arial"/>
                <w:color w:val="000000" w:themeColor="text1"/>
                <w:sz w:val="22"/>
                <w:szCs w:val="22"/>
              </w:rPr>
              <w:t>2.589,00</w:t>
            </w:r>
          </w:p>
        </w:tc>
        <w:tc>
          <w:tcPr>
            <w:tcW w:w="2034" w:type="dxa"/>
            <w:noWrap/>
            <w:hideMark/>
          </w:tcPr>
          <w:p w14:paraId="0FDA5BD0" w14:textId="3891D632" w:rsidR="0843B3CC" w:rsidRDefault="0843B3CC" w:rsidP="0843B3CC">
            <w:r w:rsidRPr="0843B3CC">
              <w:rPr>
                <w:rFonts w:ascii="Arial" w:eastAsia="Arial" w:hAnsi="Arial" w:cs="Arial"/>
                <w:color w:val="000000" w:themeColor="text1"/>
                <w:sz w:val="22"/>
                <w:szCs w:val="22"/>
              </w:rPr>
              <w:t>-2.530,55</w:t>
            </w:r>
          </w:p>
        </w:tc>
      </w:tr>
      <w:tr w:rsidR="00D76699" w:rsidRPr="00F05048" w14:paraId="175C6FCC" w14:textId="77777777" w:rsidTr="0843B3CC">
        <w:trPr>
          <w:trHeight w:val="320"/>
        </w:trPr>
        <w:tc>
          <w:tcPr>
            <w:tcW w:w="4673" w:type="dxa"/>
            <w:noWrap/>
            <w:hideMark/>
          </w:tcPr>
          <w:p w14:paraId="47A914D2" w14:textId="77777777" w:rsidR="00D76699" w:rsidRPr="00F05048" w:rsidRDefault="00D76699">
            <w:pPr>
              <w:pStyle w:val="NormalWeb"/>
              <w:spacing w:before="240" w:after="240" w:line="276" w:lineRule="auto"/>
              <w:jc w:val="both"/>
              <w:rPr>
                <w:rFonts w:ascii="Arial" w:hAnsi="Arial" w:cs="Arial"/>
                <w:sz w:val="22"/>
                <w:szCs w:val="22"/>
              </w:rPr>
            </w:pPr>
            <w:r w:rsidRPr="00F05048">
              <w:rPr>
                <w:rFonts w:ascii="Arial" w:hAnsi="Arial" w:cs="Arial"/>
                <w:sz w:val="22"/>
                <w:szCs w:val="22"/>
              </w:rPr>
              <w:t>     Pasivos netos incurridos</w:t>
            </w:r>
          </w:p>
        </w:tc>
        <w:tc>
          <w:tcPr>
            <w:tcW w:w="1443" w:type="dxa"/>
            <w:noWrap/>
            <w:hideMark/>
          </w:tcPr>
          <w:p w14:paraId="7A6DDFDD" w14:textId="2C4E08DF" w:rsidR="0843B3CC" w:rsidRDefault="0843B3CC" w:rsidP="0843B3CC">
            <w:r w:rsidRPr="0843B3CC">
              <w:rPr>
                <w:rFonts w:ascii="Arial" w:eastAsia="Arial" w:hAnsi="Arial" w:cs="Arial"/>
                <w:color w:val="000000" w:themeColor="text1"/>
                <w:sz w:val="22"/>
                <w:szCs w:val="22"/>
              </w:rPr>
              <w:t>7.497,41</w:t>
            </w:r>
          </w:p>
        </w:tc>
        <w:tc>
          <w:tcPr>
            <w:tcW w:w="1484" w:type="dxa"/>
            <w:noWrap/>
            <w:hideMark/>
          </w:tcPr>
          <w:p w14:paraId="3E571128" w14:textId="4489C415" w:rsidR="0843B3CC" w:rsidRDefault="0843B3CC" w:rsidP="0843B3CC">
            <w:r w:rsidRPr="0843B3CC">
              <w:rPr>
                <w:rFonts w:ascii="Arial" w:eastAsia="Arial" w:hAnsi="Arial" w:cs="Arial"/>
                <w:color w:val="000000" w:themeColor="text1"/>
                <w:sz w:val="22"/>
                <w:szCs w:val="22"/>
              </w:rPr>
              <w:t>-3.032,43</w:t>
            </w:r>
          </w:p>
        </w:tc>
        <w:tc>
          <w:tcPr>
            <w:tcW w:w="2034" w:type="dxa"/>
            <w:noWrap/>
            <w:hideMark/>
          </w:tcPr>
          <w:p w14:paraId="11A52620" w14:textId="0303C98F" w:rsidR="0843B3CC" w:rsidRDefault="0843B3CC" w:rsidP="0843B3CC">
            <w:r w:rsidRPr="0843B3CC">
              <w:rPr>
                <w:rFonts w:ascii="Arial" w:eastAsia="Arial" w:hAnsi="Arial" w:cs="Arial"/>
                <w:color w:val="000000" w:themeColor="text1"/>
                <w:sz w:val="22"/>
                <w:szCs w:val="22"/>
              </w:rPr>
              <w:t>-10.529,84</w:t>
            </w:r>
          </w:p>
        </w:tc>
      </w:tr>
      <w:tr w:rsidR="00D76699" w:rsidRPr="00F05048" w14:paraId="0B185794" w14:textId="77777777" w:rsidTr="0843B3CC">
        <w:trPr>
          <w:trHeight w:val="320"/>
        </w:trPr>
        <w:tc>
          <w:tcPr>
            <w:tcW w:w="4673" w:type="dxa"/>
            <w:noWrap/>
            <w:hideMark/>
          </w:tcPr>
          <w:p w14:paraId="5039980F" w14:textId="77777777" w:rsidR="00D76699" w:rsidRPr="00F05048" w:rsidRDefault="00D76699">
            <w:pPr>
              <w:pStyle w:val="NormalWeb"/>
              <w:spacing w:before="240" w:after="240" w:line="276" w:lineRule="auto"/>
              <w:jc w:val="both"/>
              <w:rPr>
                <w:rFonts w:ascii="Arial" w:hAnsi="Arial" w:cs="Arial"/>
                <w:b/>
                <w:bCs/>
                <w:sz w:val="22"/>
                <w:szCs w:val="22"/>
              </w:rPr>
            </w:pPr>
            <w:r w:rsidRPr="00F05048">
              <w:rPr>
                <w:rFonts w:ascii="Arial" w:hAnsi="Arial" w:cs="Arial"/>
                <w:b/>
                <w:bCs/>
                <w:sz w:val="22"/>
                <w:szCs w:val="22"/>
              </w:rPr>
              <w:t xml:space="preserve">   Derivados financieros </w:t>
            </w:r>
          </w:p>
        </w:tc>
        <w:tc>
          <w:tcPr>
            <w:tcW w:w="1443" w:type="dxa"/>
            <w:noWrap/>
            <w:hideMark/>
          </w:tcPr>
          <w:p w14:paraId="02B77B1E" w14:textId="437FDED5" w:rsidR="0843B3CC" w:rsidRDefault="0843B3CC" w:rsidP="0843B3CC">
            <w:r w:rsidRPr="0843B3CC">
              <w:rPr>
                <w:rFonts w:ascii="Arial" w:eastAsia="Arial" w:hAnsi="Arial" w:cs="Arial"/>
                <w:b/>
                <w:bCs/>
                <w:color w:val="000000" w:themeColor="text1"/>
                <w:sz w:val="22"/>
                <w:szCs w:val="22"/>
              </w:rPr>
              <w:t>-870,60</w:t>
            </w:r>
          </w:p>
        </w:tc>
        <w:tc>
          <w:tcPr>
            <w:tcW w:w="1484" w:type="dxa"/>
            <w:noWrap/>
            <w:hideMark/>
          </w:tcPr>
          <w:p w14:paraId="6EEA56CF" w14:textId="290DE1E8" w:rsidR="0843B3CC" w:rsidRDefault="0843B3CC" w:rsidP="0843B3CC">
            <w:r w:rsidRPr="0843B3CC">
              <w:rPr>
                <w:rFonts w:ascii="Arial" w:eastAsia="Arial" w:hAnsi="Arial" w:cs="Arial"/>
                <w:b/>
                <w:bCs/>
                <w:color w:val="000000" w:themeColor="text1"/>
                <w:sz w:val="22"/>
                <w:szCs w:val="22"/>
              </w:rPr>
              <w:t>-1.215,54</w:t>
            </w:r>
          </w:p>
        </w:tc>
        <w:tc>
          <w:tcPr>
            <w:tcW w:w="2034" w:type="dxa"/>
            <w:noWrap/>
            <w:hideMark/>
          </w:tcPr>
          <w:p w14:paraId="24E7A6DA" w14:textId="05982B1B" w:rsidR="0843B3CC" w:rsidRDefault="0843B3CC" w:rsidP="0843B3CC">
            <w:r w:rsidRPr="0843B3CC">
              <w:rPr>
                <w:rFonts w:ascii="Arial" w:eastAsia="Arial" w:hAnsi="Arial" w:cs="Arial"/>
                <w:b/>
                <w:bCs/>
                <w:color w:val="000000" w:themeColor="text1"/>
                <w:sz w:val="22"/>
                <w:szCs w:val="22"/>
              </w:rPr>
              <w:t>-344,94</w:t>
            </w:r>
          </w:p>
        </w:tc>
      </w:tr>
      <w:tr w:rsidR="00D76699" w:rsidRPr="00F05048" w14:paraId="76C64E96" w14:textId="77777777" w:rsidTr="0843B3CC">
        <w:trPr>
          <w:trHeight w:val="320"/>
        </w:trPr>
        <w:tc>
          <w:tcPr>
            <w:tcW w:w="4673" w:type="dxa"/>
            <w:noWrap/>
            <w:hideMark/>
          </w:tcPr>
          <w:p w14:paraId="3FE48B87" w14:textId="77777777" w:rsidR="00D76699" w:rsidRPr="00F05048" w:rsidRDefault="00D76699">
            <w:pPr>
              <w:pStyle w:val="NormalWeb"/>
              <w:spacing w:before="240" w:after="240" w:line="276" w:lineRule="auto"/>
              <w:jc w:val="both"/>
              <w:rPr>
                <w:rFonts w:ascii="Arial" w:hAnsi="Arial" w:cs="Arial"/>
                <w:sz w:val="22"/>
                <w:szCs w:val="22"/>
              </w:rPr>
            </w:pPr>
            <w:r w:rsidRPr="00F05048">
              <w:rPr>
                <w:rFonts w:ascii="Arial" w:hAnsi="Arial" w:cs="Arial"/>
                <w:sz w:val="22"/>
                <w:szCs w:val="22"/>
              </w:rPr>
              <w:t>    </w:t>
            </w:r>
            <w:r>
              <w:rPr>
                <w:rFonts w:ascii="Arial" w:hAnsi="Arial" w:cs="Arial"/>
                <w:sz w:val="22"/>
                <w:szCs w:val="22"/>
              </w:rPr>
              <w:t xml:space="preserve"> </w:t>
            </w:r>
            <w:r w:rsidRPr="00F05048">
              <w:rPr>
                <w:rFonts w:ascii="Arial" w:hAnsi="Arial" w:cs="Arial"/>
                <w:sz w:val="22"/>
                <w:szCs w:val="22"/>
              </w:rPr>
              <w:t>Adquisición neta de activos financieros</w:t>
            </w:r>
          </w:p>
        </w:tc>
        <w:tc>
          <w:tcPr>
            <w:tcW w:w="1443" w:type="dxa"/>
            <w:noWrap/>
            <w:hideMark/>
          </w:tcPr>
          <w:p w14:paraId="50EC137B" w14:textId="4D652021" w:rsidR="0843B3CC" w:rsidRDefault="0843B3CC" w:rsidP="0843B3CC">
            <w:r w:rsidRPr="0843B3CC">
              <w:rPr>
                <w:rFonts w:ascii="Arial" w:eastAsia="Arial" w:hAnsi="Arial" w:cs="Arial"/>
                <w:color w:val="000000" w:themeColor="text1"/>
                <w:sz w:val="22"/>
                <w:szCs w:val="22"/>
              </w:rPr>
              <w:t>-870,60</w:t>
            </w:r>
          </w:p>
        </w:tc>
        <w:tc>
          <w:tcPr>
            <w:tcW w:w="1484" w:type="dxa"/>
            <w:noWrap/>
            <w:hideMark/>
          </w:tcPr>
          <w:p w14:paraId="6C8E738B" w14:textId="046D7862" w:rsidR="0843B3CC" w:rsidRDefault="0843B3CC" w:rsidP="0843B3CC">
            <w:r w:rsidRPr="0843B3CC">
              <w:rPr>
                <w:rFonts w:ascii="Arial" w:eastAsia="Arial" w:hAnsi="Arial" w:cs="Arial"/>
                <w:color w:val="000000" w:themeColor="text1"/>
                <w:sz w:val="22"/>
                <w:szCs w:val="22"/>
              </w:rPr>
              <w:t>-1.215,54</w:t>
            </w:r>
          </w:p>
        </w:tc>
        <w:tc>
          <w:tcPr>
            <w:tcW w:w="2034" w:type="dxa"/>
            <w:noWrap/>
            <w:hideMark/>
          </w:tcPr>
          <w:p w14:paraId="3E4E94EA" w14:textId="183107AE" w:rsidR="0843B3CC" w:rsidRDefault="0843B3CC" w:rsidP="0843B3CC">
            <w:r w:rsidRPr="0843B3CC">
              <w:rPr>
                <w:rFonts w:ascii="Arial" w:eastAsia="Arial" w:hAnsi="Arial" w:cs="Arial"/>
                <w:color w:val="000000" w:themeColor="text1"/>
                <w:sz w:val="22"/>
                <w:szCs w:val="22"/>
              </w:rPr>
              <w:t>-344,94</w:t>
            </w:r>
          </w:p>
        </w:tc>
      </w:tr>
      <w:tr w:rsidR="00D76699" w:rsidRPr="00F05048" w14:paraId="775D6069" w14:textId="77777777" w:rsidTr="0843B3CC">
        <w:trPr>
          <w:trHeight w:val="320"/>
        </w:trPr>
        <w:tc>
          <w:tcPr>
            <w:tcW w:w="4673" w:type="dxa"/>
            <w:noWrap/>
            <w:hideMark/>
          </w:tcPr>
          <w:p w14:paraId="30C1D351" w14:textId="77777777" w:rsidR="00D76699" w:rsidRPr="00F05048" w:rsidRDefault="00D76699">
            <w:pPr>
              <w:pStyle w:val="NormalWeb"/>
              <w:spacing w:before="240" w:after="240" w:line="276" w:lineRule="auto"/>
              <w:jc w:val="both"/>
              <w:rPr>
                <w:rFonts w:ascii="Arial" w:hAnsi="Arial" w:cs="Arial"/>
                <w:sz w:val="22"/>
                <w:szCs w:val="22"/>
              </w:rPr>
            </w:pPr>
            <w:r w:rsidRPr="00F05048">
              <w:rPr>
                <w:rFonts w:ascii="Arial" w:hAnsi="Arial" w:cs="Arial"/>
                <w:sz w:val="22"/>
                <w:szCs w:val="22"/>
              </w:rPr>
              <w:lastRenderedPageBreak/>
              <w:t>     Pasivos netos incurridos</w:t>
            </w:r>
          </w:p>
        </w:tc>
        <w:tc>
          <w:tcPr>
            <w:tcW w:w="1443" w:type="dxa"/>
            <w:noWrap/>
            <w:hideMark/>
          </w:tcPr>
          <w:p w14:paraId="463E1456" w14:textId="64E5FFDC" w:rsidR="0843B3CC" w:rsidRDefault="0843B3CC" w:rsidP="0843B3CC">
            <w:r w:rsidRPr="0843B3CC">
              <w:rPr>
                <w:rFonts w:ascii="Arial" w:eastAsia="Arial" w:hAnsi="Arial" w:cs="Arial"/>
                <w:color w:val="000000" w:themeColor="text1"/>
                <w:sz w:val="22"/>
                <w:szCs w:val="22"/>
              </w:rPr>
              <w:t>0</w:t>
            </w:r>
          </w:p>
        </w:tc>
        <w:tc>
          <w:tcPr>
            <w:tcW w:w="1484" w:type="dxa"/>
            <w:noWrap/>
            <w:hideMark/>
          </w:tcPr>
          <w:p w14:paraId="4C2D307A" w14:textId="58B61E91" w:rsidR="0843B3CC" w:rsidRDefault="0843B3CC" w:rsidP="0843B3CC">
            <w:r w:rsidRPr="0843B3CC">
              <w:rPr>
                <w:rFonts w:ascii="Arial" w:eastAsia="Arial" w:hAnsi="Arial" w:cs="Arial"/>
                <w:color w:val="000000" w:themeColor="text1"/>
                <w:sz w:val="22"/>
                <w:szCs w:val="22"/>
              </w:rPr>
              <w:t>0</w:t>
            </w:r>
          </w:p>
        </w:tc>
        <w:tc>
          <w:tcPr>
            <w:tcW w:w="2034" w:type="dxa"/>
            <w:noWrap/>
            <w:hideMark/>
          </w:tcPr>
          <w:p w14:paraId="275E8B00" w14:textId="23E153AF" w:rsidR="0843B3CC" w:rsidRDefault="0843B3CC" w:rsidP="0843B3CC">
            <w:r w:rsidRPr="0843B3CC">
              <w:rPr>
                <w:rFonts w:ascii="Arial" w:eastAsia="Arial" w:hAnsi="Arial" w:cs="Arial"/>
                <w:color w:val="000000" w:themeColor="text1"/>
                <w:sz w:val="22"/>
                <w:szCs w:val="22"/>
              </w:rPr>
              <w:t>0,00</w:t>
            </w:r>
          </w:p>
        </w:tc>
      </w:tr>
      <w:tr w:rsidR="00D76699" w:rsidRPr="00F05048" w14:paraId="1003AE7A" w14:textId="77777777" w:rsidTr="0843B3CC">
        <w:trPr>
          <w:trHeight w:val="320"/>
        </w:trPr>
        <w:tc>
          <w:tcPr>
            <w:tcW w:w="4673" w:type="dxa"/>
            <w:noWrap/>
            <w:hideMark/>
          </w:tcPr>
          <w:p w14:paraId="54489620" w14:textId="77777777" w:rsidR="00D76699" w:rsidRPr="00F05048" w:rsidRDefault="00D76699">
            <w:pPr>
              <w:pStyle w:val="NormalWeb"/>
              <w:spacing w:before="240" w:after="240" w:line="276" w:lineRule="auto"/>
              <w:jc w:val="both"/>
              <w:rPr>
                <w:rFonts w:ascii="Arial" w:hAnsi="Arial" w:cs="Arial"/>
                <w:b/>
                <w:bCs/>
                <w:sz w:val="22"/>
                <w:szCs w:val="22"/>
              </w:rPr>
            </w:pPr>
            <w:r>
              <w:rPr>
                <w:rFonts w:ascii="Arial" w:hAnsi="Arial" w:cs="Arial"/>
                <w:b/>
                <w:bCs/>
                <w:sz w:val="22"/>
                <w:szCs w:val="22"/>
              </w:rPr>
              <w:t xml:space="preserve">   </w:t>
            </w:r>
            <w:r w:rsidRPr="00F05048">
              <w:rPr>
                <w:rFonts w:ascii="Arial" w:hAnsi="Arial" w:cs="Arial"/>
                <w:b/>
                <w:bCs/>
                <w:sz w:val="22"/>
                <w:szCs w:val="22"/>
              </w:rPr>
              <w:t>Otra inversión</w:t>
            </w:r>
          </w:p>
        </w:tc>
        <w:tc>
          <w:tcPr>
            <w:tcW w:w="1443" w:type="dxa"/>
            <w:noWrap/>
            <w:hideMark/>
          </w:tcPr>
          <w:p w14:paraId="5CD30218" w14:textId="1B99373E" w:rsidR="0843B3CC" w:rsidRDefault="0843B3CC" w:rsidP="0843B3CC">
            <w:r w:rsidRPr="0843B3CC">
              <w:rPr>
                <w:rFonts w:ascii="Arial" w:eastAsia="Arial" w:hAnsi="Arial" w:cs="Arial"/>
                <w:b/>
                <w:bCs/>
                <w:color w:val="000000" w:themeColor="text1"/>
                <w:sz w:val="22"/>
                <w:szCs w:val="22"/>
              </w:rPr>
              <w:t>926,55</w:t>
            </w:r>
          </w:p>
        </w:tc>
        <w:tc>
          <w:tcPr>
            <w:tcW w:w="1484" w:type="dxa"/>
            <w:noWrap/>
            <w:hideMark/>
          </w:tcPr>
          <w:p w14:paraId="37B31DE8" w14:textId="1B966471" w:rsidR="0843B3CC" w:rsidRDefault="0843B3CC" w:rsidP="0843B3CC">
            <w:r w:rsidRPr="0843B3CC">
              <w:rPr>
                <w:rFonts w:ascii="Arial" w:eastAsia="Arial" w:hAnsi="Arial" w:cs="Arial"/>
                <w:b/>
                <w:bCs/>
                <w:color w:val="000000" w:themeColor="text1"/>
                <w:sz w:val="22"/>
                <w:szCs w:val="22"/>
              </w:rPr>
              <w:t>-3.016,50</w:t>
            </w:r>
          </w:p>
        </w:tc>
        <w:tc>
          <w:tcPr>
            <w:tcW w:w="2034" w:type="dxa"/>
            <w:noWrap/>
            <w:hideMark/>
          </w:tcPr>
          <w:p w14:paraId="16C597D4" w14:textId="569BB9B7" w:rsidR="0843B3CC" w:rsidRDefault="0843B3CC" w:rsidP="0843B3CC">
            <w:r w:rsidRPr="0843B3CC">
              <w:rPr>
                <w:rFonts w:ascii="Arial" w:eastAsia="Arial" w:hAnsi="Arial" w:cs="Arial"/>
                <w:b/>
                <w:bCs/>
                <w:color w:val="000000" w:themeColor="text1"/>
                <w:sz w:val="22"/>
                <w:szCs w:val="22"/>
              </w:rPr>
              <w:t>-3.943,05</w:t>
            </w:r>
          </w:p>
        </w:tc>
      </w:tr>
      <w:tr w:rsidR="00D76699" w:rsidRPr="00F05048" w14:paraId="13E0B8FC" w14:textId="77777777" w:rsidTr="0843B3CC">
        <w:trPr>
          <w:trHeight w:val="320"/>
        </w:trPr>
        <w:tc>
          <w:tcPr>
            <w:tcW w:w="4673" w:type="dxa"/>
            <w:noWrap/>
            <w:hideMark/>
          </w:tcPr>
          <w:p w14:paraId="784931F1" w14:textId="77777777" w:rsidR="00D76699" w:rsidRPr="00F05048" w:rsidRDefault="00D76699">
            <w:pPr>
              <w:pStyle w:val="NormalWeb"/>
              <w:spacing w:before="240" w:after="240" w:line="276" w:lineRule="auto"/>
              <w:jc w:val="both"/>
              <w:rPr>
                <w:rFonts w:ascii="Arial" w:hAnsi="Arial" w:cs="Arial"/>
                <w:sz w:val="22"/>
                <w:szCs w:val="22"/>
              </w:rPr>
            </w:pPr>
            <w:r w:rsidRPr="00F05048">
              <w:rPr>
                <w:rFonts w:ascii="Arial" w:hAnsi="Arial" w:cs="Arial"/>
                <w:sz w:val="22"/>
                <w:szCs w:val="22"/>
              </w:rPr>
              <w:t>     Adquisición neta de activos financieros</w:t>
            </w:r>
          </w:p>
        </w:tc>
        <w:tc>
          <w:tcPr>
            <w:tcW w:w="1443" w:type="dxa"/>
            <w:noWrap/>
            <w:hideMark/>
          </w:tcPr>
          <w:p w14:paraId="3666F90C" w14:textId="4B875A84" w:rsidR="0843B3CC" w:rsidRDefault="0843B3CC" w:rsidP="0843B3CC">
            <w:r w:rsidRPr="0843B3CC">
              <w:rPr>
                <w:rFonts w:ascii="Arial" w:eastAsia="Arial" w:hAnsi="Arial" w:cs="Arial"/>
                <w:color w:val="000000" w:themeColor="text1"/>
                <w:sz w:val="22"/>
                <w:szCs w:val="22"/>
              </w:rPr>
              <w:t>-1.381,75</w:t>
            </w:r>
          </w:p>
        </w:tc>
        <w:tc>
          <w:tcPr>
            <w:tcW w:w="1484" w:type="dxa"/>
            <w:noWrap/>
            <w:hideMark/>
          </w:tcPr>
          <w:p w14:paraId="7E5D4101" w14:textId="3633C383" w:rsidR="0843B3CC" w:rsidRDefault="0843B3CC" w:rsidP="0843B3CC">
            <w:r w:rsidRPr="0843B3CC">
              <w:rPr>
                <w:rFonts w:ascii="Arial" w:eastAsia="Arial" w:hAnsi="Arial" w:cs="Arial"/>
                <w:color w:val="000000" w:themeColor="text1"/>
                <w:sz w:val="22"/>
                <w:szCs w:val="22"/>
              </w:rPr>
              <w:t>-2.823,18</w:t>
            </w:r>
          </w:p>
        </w:tc>
        <w:tc>
          <w:tcPr>
            <w:tcW w:w="2034" w:type="dxa"/>
            <w:noWrap/>
            <w:hideMark/>
          </w:tcPr>
          <w:p w14:paraId="273E8237" w14:textId="230A0357" w:rsidR="0843B3CC" w:rsidRDefault="0843B3CC" w:rsidP="0843B3CC">
            <w:r w:rsidRPr="0843B3CC">
              <w:rPr>
                <w:rFonts w:ascii="Arial" w:eastAsia="Arial" w:hAnsi="Arial" w:cs="Arial"/>
                <w:color w:val="000000" w:themeColor="text1"/>
                <w:sz w:val="22"/>
                <w:szCs w:val="22"/>
              </w:rPr>
              <w:t>-1.441,43</w:t>
            </w:r>
          </w:p>
        </w:tc>
      </w:tr>
      <w:tr w:rsidR="00D76699" w:rsidRPr="00F05048" w14:paraId="03E30BBE" w14:textId="77777777" w:rsidTr="0843B3CC">
        <w:trPr>
          <w:trHeight w:val="320"/>
        </w:trPr>
        <w:tc>
          <w:tcPr>
            <w:tcW w:w="4673" w:type="dxa"/>
            <w:noWrap/>
            <w:hideMark/>
          </w:tcPr>
          <w:p w14:paraId="2F2564AE" w14:textId="77777777" w:rsidR="00D76699" w:rsidRPr="00F05048" w:rsidRDefault="00D76699">
            <w:pPr>
              <w:pStyle w:val="NormalWeb"/>
              <w:spacing w:before="240" w:after="240" w:line="276" w:lineRule="auto"/>
              <w:jc w:val="both"/>
              <w:rPr>
                <w:rFonts w:ascii="Arial" w:hAnsi="Arial" w:cs="Arial"/>
                <w:sz w:val="22"/>
                <w:szCs w:val="22"/>
              </w:rPr>
            </w:pPr>
            <w:r w:rsidRPr="00F05048">
              <w:rPr>
                <w:rFonts w:ascii="Arial" w:hAnsi="Arial" w:cs="Arial"/>
                <w:sz w:val="22"/>
                <w:szCs w:val="22"/>
              </w:rPr>
              <w:t>     Pasivos netos incurridos</w:t>
            </w:r>
          </w:p>
        </w:tc>
        <w:tc>
          <w:tcPr>
            <w:tcW w:w="1443" w:type="dxa"/>
            <w:noWrap/>
            <w:hideMark/>
          </w:tcPr>
          <w:p w14:paraId="439665E8" w14:textId="45D833D4" w:rsidR="0843B3CC" w:rsidRDefault="0843B3CC" w:rsidP="0843B3CC">
            <w:r w:rsidRPr="0843B3CC">
              <w:rPr>
                <w:rFonts w:ascii="Arial" w:eastAsia="Arial" w:hAnsi="Arial" w:cs="Arial"/>
                <w:color w:val="000000" w:themeColor="text1"/>
                <w:sz w:val="22"/>
                <w:szCs w:val="22"/>
              </w:rPr>
              <w:t>-2.308,31</w:t>
            </w:r>
          </w:p>
        </w:tc>
        <w:tc>
          <w:tcPr>
            <w:tcW w:w="1484" w:type="dxa"/>
            <w:noWrap/>
            <w:hideMark/>
          </w:tcPr>
          <w:p w14:paraId="4992F876" w14:textId="3B0B0CAF" w:rsidR="0843B3CC" w:rsidRDefault="0843B3CC" w:rsidP="0843B3CC">
            <w:r w:rsidRPr="0843B3CC">
              <w:rPr>
                <w:rFonts w:ascii="Arial" w:eastAsia="Arial" w:hAnsi="Arial" w:cs="Arial"/>
                <w:color w:val="000000" w:themeColor="text1"/>
                <w:sz w:val="22"/>
                <w:szCs w:val="22"/>
              </w:rPr>
              <w:t>193,34</w:t>
            </w:r>
          </w:p>
        </w:tc>
        <w:tc>
          <w:tcPr>
            <w:tcW w:w="2034" w:type="dxa"/>
            <w:noWrap/>
            <w:hideMark/>
          </w:tcPr>
          <w:p w14:paraId="42709ED5" w14:textId="5CE86D56" w:rsidR="0843B3CC" w:rsidRDefault="0843B3CC" w:rsidP="0843B3CC">
            <w:r w:rsidRPr="0843B3CC">
              <w:rPr>
                <w:rFonts w:ascii="Arial" w:eastAsia="Arial" w:hAnsi="Arial" w:cs="Arial"/>
                <w:color w:val="000000" w:themeColor="text1"/>
                <w:sz w:val="22"/>
                <w:szCs w:val="22"/>
              </w:rPr>
              <w:t>2.501,65</w:t>
            </w:r>
          </w:p>
        </w:tc>
      </w:tr>
      <w:tr w:rsidR="00D76699" w:rsidRPr="00F05048" w14:paraId="584AE0DA" w14:textId="77777777" w:rsidTr="0843B3CC">
        <w:trPr>
          <w:trHeight w:val="320"/>
        </w:trPr>
        <w:tc>
          <w:tcPr>
            <w:tcW w:w="4673" w:type="dxa"/>
            <w:noWrap/>
            <w:hideMark/>
          </w:tcPr>
          <w:p w14:paraId="38463252" w14:textId="77777777" w:rsidR="00D76699" w:rsidRPr="00F05048" w:rsidRDefault="00D76699">
            <w:pPr>
              <w:pStyle w:val="NormalWeb"/>
              <w:spacing w:before="240" w:after="240" w:line="276" w:lineRule="auto"/>
              <w:jc w:val="both"/>
              <w:rPr>
                <w:rFonts w:ascii="Arial" w:hAnsi="Arial" w:cs="Arial"/>
                <w:b/>
                <w:bCs/>
                <w:sz w:val="22"/>
                <w:szCs w:val="22"/>
              </w:rPr>
            </w:pPr>
            <w:r>
              <w:rPr>
                <w:rFonts w:ascii="Arial" w:hAnsi="Arial" w:cs="Arial"/>
                <w:b/>
                <w:bCs/>
                <w:sz w:val="22"/>
                <w:szCs w:val="22"/>
              </w:rPr>
              <w:t xml:space="preserve">   </w:t>
            </w:r>
            <w:r w:rsidRPr="00F05048">
              <w:rPr>
                <w:rFonts w:ascii="Arial" w:hAnsi="Arial" w:cs="Arial"/>
                <w:b/>
                <w:bCs/>
                <w:sz w:val="22"/>
                <w:szCs w:val="22"/>
              </w:rPr>
              <w:t>Activos de reserva</w:t>
            </w:r>
          </w:p>
        </w:tc>
        <w:tc>
          <w:tcPr>
            <w:tcW w:w="1443" w:type="dxa"/>
            <w:noWrap/>
            <w:hideMark/>
          </w:tcPr>
          <w:p w14:paraId="0878EF3B" w14:textId="25B4D3D4" w:rsidR="0843B3CC" w:rsidRDefault="0843B3CC" w:rsidP="0843B3CC">
            <w:r w:rsidRPr="0843B3CC">
              <w:rPr>
                <w:rFonts w:ascii="Arial" w:eastAsia="Arial" w:hAnsi="Arial" w:cs="Arial"/>
                <w:b/>
                <w:bCs/>
                <w:color w:val="000000" w:themeColor="text1"/>
                <w:sz w:val="22"/>
                <w:szCs w:val="22"/>
              </w:rPr>
              <w:t>1.088,16</w:t>
            </w:r>
          </w:p>
        </w:tc>
        <w:tc>
          <w:tcPr>
            <w:tcW w:w="1484" w:type="dxa"/>
            <w:noWrap/>
            <w:hideMark/>
          </w:tcPr>
          <w:p w14:paraId="3E5F8C46" w14:textId="0413777F" w:rsidR="0843B3CC" w:rsidRDefault="0843B3CC" w:rsidP="0843B3CC">
            <w:r w:rsidRPr="0843B3CC">
              <w:rPr>
                <w:rFonts w:ascii="Arial" w:eastAsia="Arial" w:hAnsi="Arial" w:cs="Arial"/>
                <w:b/>
                <w:bCs/>
                <w:color w:val="000000" w:themeColor="text1"/>
                <w:sz w:val="22"/>
                <w:szCs w:val="22"/>
              </w:rPr>
              <w:t>1.093,23</w:t>
            </w:r>
          </w:p>
        </w:tc>
        <w:tc>
          <w:tcPr>
            <w:tcW w:w="2034" w:type="dxa"/>
            <w:noWrap/>
            <w:hideMark/>
          </w:tcPr>
          <w:p w14:paraId="3265AF62" w14:textId="5B1F7EBF" w:rsidR="0843B3CC" w:rsidRDefault="0843B3CC" w:rsidP="0843B3CC">
            <w:r w:rsidRPr="0843B3CC">
              <w:rPr>
                <w:rFonts w:ascii="Arial" w:eastAsia="Arial" w:hAnsi="Arial" w:cs="Arial"/>
                <w:b/>
                <w:bCs/>
                <w:color w:val="000000" w:themeColor="text1"/>
                <w:sz w:val="22"/>
                <w:szCs w:val="22"/>
              </w:rPr>
              <w:t>5,07</w:t>
            </w:r>
          </w:p>
        </w:tc>
      </w:tr>
      <w:tr w:rsidR="00D76699" w:rsidRPr="00F05048" w14:paraId="583D8458" w14:textId="77777777" w:rsidTr="0843B3CC">
        <w:trPr>
          <w:trHeight w:val="320"/>
        </w:trPr>
        <w:tc>
          <w:tcPr>
            <w:tcW w:w="4673" w:type="dxa"/>
            <w:noWrap/>
            <w:hideMark/>
          </w:tcPr>
          <w:p w14:paraId="4BA0E2DC" w14:textId="77777777" w:rsidR="00D76699" w:rsidRPr="00F05048" w:rsidRDefault="00D76699">
            <w:pPr>
              <w:pStyle w:val="NormalWeb"/>
              <w:spacing w:before="240" w:after="240" w:line="276" w:lineRule="auto"/>
              <w:jc w:val="both"/>
              <w:rPr>
                <w:rFonts w:ascii="Arial" w:hAnsi="Arial" w:cs="Arial"/>
                <w:sz w:val="22"/>
                <w:szCs w:val="22"/>
              </w:rPr>
            </w:pPr>
            <w:r w:rsidRPr="00F05048">
              <w:rPr>
                <w:rFonts w:ascii="Arial" w:hAnsi="Arial" w:cs="Arial"/>
                <w:sz w:val="22"/>
                <w:szCs w:val="22"/>
              </w:rPr>
              <w:t>Errores y omisiones</w:t>
            </w:r>
          </w:p>
        </w:tc>
        <w:tc>
          <w:tcPr>
            <w:tcW w:w="1443" w:type="dxa"/>
            <w:noWrap/>
            <w:hideMark/>
          </w:tcPr>
          <w:p w14:paraId="69487446" w14:textId="161CC715" w:rsidR="0843B3CC" w:rsidRDefault="0843B3CC" w:rsidP="0843B3CC">
            <w:r w:rsidRPr="0843B3CC">
              <w:rPr>
                <w:rFonts w:ascii="Arial" w:eastAsia="Arial" w:hAnsi="Arial" w:cs="Arial"/>
                <w:color w:val="000000" w:themeColor="text1"/>
                <w:sz w:val="22"/>
                <w:szCs w:val="22"/>
              </w:rPr>
              <w:t>908,12</w:t>
            </w:r>
          </w:p>
        </w:tc>
        <w:tc>
          <w:tcPr>
            <w:tcW w:w="1484" w:type="dxa"/>
            <w:noWrap/>
            <w:hideMark/>
          </w:tcPr>
          <w:p w14:paraId="60EBBEF5" w14:textId="2C75D8C2" w:rsidR="0843B3CC" w:rsidRDefault="0843B3CC" w:rsidP="0843B3CC">
            <w:r w:rsidRPr="0843B3CC">
              <w:rPr>
                <w:rFonts w:ascii="Arial" w:eastAsia="Arial" w:hAnsi="Arial" w:cs="Arial"/>
                <w:color w:val="000000" w:themeColor="text1"/>
                <w:sz w:val="22"/>
                <w:szCs w:val="22"/>
              </w:rPr>
              <w:t>1.715,31</w:t>
            </w:r>
          </w:p>
        </w:tc>
        <w:tc>
          <w:tcPr>
            <w:tcW w:w="2034" w:type="dxa"/>
            <w:noWrap/>
            <w:hideMark/>
          </w:tcPr>
          <w:p w14:paraId="0E8DE841" w14:textId="51115770" w:rsidR="0843B3CC" w:rsidRDefault="0843B3CC" w:rsidP="0843B3CC">
            <w:r w:rsidRPr="0843B3CC">
              <w:rPr>
                <w:rFonts w:ascii="Arial" w:eastAsia="Arial" w:hAnsi="Arial" w:cs="Arial"/>
                <w:color w:val="000000" w:themeColor="text1"/>
                <w:sz w:val="22"/>
                <w:szCs w:val="22"/>
              </w:rPr>
              <w:t>807,19</w:t>
            </w:r>
          </w:p>
        </w:tc>
      </w:tr>
    </w:tbl>
    <w:p w14:paraId="58709321" w14:textId="5BF770CB" w:rsidR="00177D39" w:rsidRDefault="00923BDC" w:rsidP="00B33D70">
      <w:pPr>
        <w:spacing w:before="240" w:line="276" w:lineRule="auto"/>
        <w:ind w:right="1912"/>
        <w:jc w:val="both"/>
        <w:rPr>
          <w:rFonts w:ascii="Arial" w:hAnsi="Arial" w:cs="Arial"/>
          <w:color w:val="000000"/>
          <w:lang w:val="es-ES"/>
        </w:rPr>
      </w:pPr>
      <w:r w:rsidRPr="4E0ADCDF">
        <w:rPr>
          <w:rFonts w:ascii="Arial" w:hAnsi="Arial" w:cs="Arial"/>
          <w:b/>
          <w:bCs/>
          <w:color w:val="000000" w:themeColor="text1"/>
          <w:lang w:val="es-ES"/>
        </w:rPr>
        <w:t>Fuente:</w:t>
      </w:r>
      <w:r w:rsidRPr="4E0ADCDF">
        <w:rPr>
          <w:rFonts w:ascii="Arial" w:hAnsi="Arial" w:cs="Arial"/>
          <w:b w:val="0"/>
          <w:bCs/>
          <w:color w:val="000000" w:themeColor="text1"/>
          <w:lang w:val="es-ES"/>
        </w:rPr>
        <w:t xml:space="preserve"> Banco de la República, Balanza de Pagos (2026b). p: preliminar.</w:t>
      </w:r>
    </w:p>
    <w:p w14:paraId="776E0643" w14:textId="42E718DB" w:rsidR="72545DEA" w:rsidRDefault="72545DEA" w:rsidP="4E0ADCDF">
      <w:pPr>
        <w:spacing w:before="240" w:after="240" w:line="276" w:lineRule="auto"/>
      </w:pPr>
      <w:r w:rsidRPr="4E0ADCDF">
        <w:rPr>
          <w:rFonts w:ascii="Arial" w:eastAsia="Arial" w:hAnsi="Arial" w:cs="Arial"/>
          <w:b/>
          <w:bCs/>
          <w:lang w:val="es"/>
        </w:rPr>
        <w:t>Cuenta Financiera al cierre del primer semestre de 2026</w:t>
      </w:r>
    </w:p>
    <w:p w14:paraId="384C6E42" w14:textId="0FC19853" w:rsidR="55531CB9" w:rsidRDefault="55531CB9" w:rsidP="67C09ACE">
      <w:pPr>
        <w:spacing w:after="160" w:line="276" w:lineRule="auto"/>
      </w:pPr>
      <w:r w:rsidRPr="67C09ACE">
        <w:rPr>
          <w:rFonts w:ascii="Arial" w:eastAsia="Arial" w:hAnsi="Arial" w:cs="Arial"/>
          <w:color w:val="000000" w:themeColor="text1"/>
          <w:lang w:val="es"/>
        </w:rPr>
        <w:t>En el primer semestre de 2026, la cuenta financiera registró entradas netas de capital por US$ 4.265 m (1,6% del PIB semestral), US$ 1.047 m más que un año atrás (tabla 2). Sin embargo, los ingresos de capital extranjero cayeron en US$ 6.096 m, hasta US$ 5.299 m, mientras que las salidas de capital colombiano se redujeron de US$ 7.959 m a US$ 1.156 m (Banco de la República, 2026a). Es decir, el aumento no respondió a una mayor llegada de recursos externos, sino a que los residentes invirtieron mucho menos en el exterior.</w:t>
      </w:r>
    </w:p>
    <w:p w14:paraId="4ED0689C" w14:textId="036743EB" w:rsidR="55531CB9" w:rsidRDefault="55531CB9" w:rsidP="67C09ACE">
      <w:pPr>
        <w:spacing w:after="160" w:line="276" w:lineRule="auto"/>
      </w:pPr>
      <w:r w:rsidRPr="67C09ACE">
        <w:rPr>
          <w:rFonts w:ascii="Arial" w:eastAsia="Arial" w:hAnsi="Arial" w:cs="Arial"/>
          <w:color w:val="000000" w:themeColor="text1"/>
          <w:lang w:val="es"/>
        </w:rPr>
        <w:t>La inversión directa fue el rubro que más contribuyó, con entradas netas por US$ 6.748 m, más del triple que un año atrás (US$ 1.985 m). Por un lado, la IED aumentó 31,1% hasta US$ 8.138 m (3,1% del PIB semestral): las casas matrices extranjeras hicieron nuevos aportes de capital por US$ 3.962 m (US$ 835 m más) y duplicaron sus préstamos a filiales en Colombia (de US$ 815 m a US$ 1.739 m), mientras que la reinversión de utilidades se mantuvo estable (US$ 2.436 m). Estos recursos se dirigieron principalmente a servicios financieros y empresariales (29%), minería y petróleo (20%) e industria manufacturera (18%). Por otro lado, la inversión directa de colombianos en el exterior cayó de US$ 4.221 m a US$ 1.390 m, porque las empresas colombianas, en su mayoría manufactureras y eléctricas, prácticamente dejaron de hacer aportes de capital a sus filiales afuera (US$ 186 m, frente a US$ 2.293 m) (Banco de la República, 2026a; 2026b). Así, cerca de US$ 2.800 m de la mejora en la inversión directa neta no provinieron de más capital extranjero, sino de una menor inversión colombiana en el exterior.</w:t>
      </w:r>
    </w:p>
    <w:p w14:paraId="19488446" w14:textId="720C05C1" w:rsidR="00CE455A" w:rsidRPr="00B33D70" w:rsidRDefault="00CE455A" w:rsidP="00CE455A">
      <w:pPr>
        <w:spacing w:line="276" w:lineRule="auto"/>
        <w:rPr>
          <w:rFonts w:ascii="Arial" w:hAnsi="Arial" w:cs="Arial"/>
          <w:b/>
          <w:bCs/>
          <w:color w:val="000000"/>
          <w:lang w:val="es-ES"/>
        </w:rPr>
      </w:pPr>
      <w:r w:rsidRPr="00B33D70">
        <w:rPr>
          <w:rFonts w:ascii="Arial" w:hAnsi="Arial" w:cs="Arial"/>
          <w:b/>
          <w:bCs/>
          <w:color w:val="000000"/>
          <w:lang w:val="es-ES"/>
        </w:rPr>
        <w:t>Figura 4. Inversión extranjera directa en Colombia y pares regionales 2022 – 2026* (% del PIB)</w:t>
      </w:r>
    </w:p>
    <w:p w14:paraId="0B8CF69C" w14:textId="3B9A0BC0" w:rsidR="00CE455A" w:rsidRDefault="00A060AD" w:rsidP="00CE455A">
      <w:pPr>
        <w:spacing w:after="160" w:line="259" w:lineRule="auto"/>
        <w:rPr>
          <w:rFonts w:ascii="Arial" w:hAnsi="Arial" w:cs="Arial"/>
          <w:b/>
          <w:bCs/>
          <w:lang w:val="es-ES"/>
        </w:rPr>
      </w:pPr>
      <w:r>
        <w:rPr>
          <w:noProof/>
          <w14:ligatures w14:val="standardContextual"/>
        </w:rPr>
        <w:lastRenderedPageBreak/>
        <w:drawing>
          <wp:inline distT="0" distB="0" distL="0" distR="0" wp14:anchorId="464C737E" wp14:editId="1B7D2714">
            <wp:extent cx="5943600" cy="3400000"/>
            <wp:effectExtent l="0" t="0" r="0" b="15240"/>
            <wp:docPr id="4" name="Gráfico 4">
              <a:extLst xmlns:a="http://schemas.openxmlformats.org/drawingml/2006/main">
                <a:ext uri="{FF2B5EF4-FFF2-40B4-BE49-F238E27FC236}">
                  <a16:creationId xmlns:a16="http://schemas.microsoft.com/office/drawing/2014/main" id="{90FA0FC9-5DEB-DC5A-0EF6-E8A682EA6838}"/>
                </a:ext>
              </a:extLst>
            </wp:docPr>
            <wp:cNvGraphicFramePr/>
            <a:graphic xmlns:a="http://schemas.openxmlformats.org/drawingml/2006/main">
              <a:graphicData uri="http://schemas.openxmlformats.org/drawingml/2006/chart">
                <c:chart xmlns:c="http://schemas.openxmlformats.org/drawingml/2006/chart" r:id="rId11"/>
              </a:graphicData>
            </a:graphic>
          </wp:inline>
        </w:drawing>
      </w:r>
    </w:p>
    <w:p w14:paraId="39DD7E36" w14:textId="77777777" w:rsidR="00CE455A" w:rsidRDefault="00CE455A" w:rsidP="00CE455A">
      <w:pPr>
        <w:spacing w:line="276" w:lineRule="auto"/>
        <w:rPr>
          <w:rFonts w:ascii="Arial" w:hAnsi="Arial" w:cs="Arial"/>
          <w:color w:val="000000"/>
          <w:lang w:val="es-ES"/>
        </w:rPr>
      </w:pPr>
      <w:r w:rsidRPr="00CF16A9">
        <w:rPr>
          <w:rFonts w:ascii="Arial" w:hAnsi="Arial" w:cs="Arial"/>
          <w:b/>
          <w:bCs/>
          <w:color w:val="000000"/>
          <w:lang w:val="es-ES"/>
        </w:rPr>
        <w:t>Fuente:</w:t>
      </w:r>
      <w:r w:rsidRPr="00CF16A9">
        <w:rPr>
          <w:rFonts w:ascii="Arial" w:hAnsi="Arial" w:cs="Arial"/>
          <w:b w:val="0"/>
          <w:bCs/>
          <w:color w:val="000000"/>
          <w:lang w:val="es-ES"/>
        </w:rPr>
        <w:t xml:space="preserve"> Elaboración propia con datos del Banco de la República (2026b), Banco Central de Chile (2026), Banco Central do Brasil (2026), Banco de México (2026) y Banco Central de Reserva del Perú (2026). *Primer semestre de 2026.</w:t>
      </w:r>
    </w:p>
    <w:p w14:paraId="4ED0689C" w14:textId="036743EB" w:rsidR="55531CB9" w:rsidRDefault="55531CB9" w:rsidP="67C09ACE">
      <w:pPr>
        <w:spacing w:after="160" w:line="276" w:lineRule="auto"/>
      </w:pPr>
      <w:r w:rsidRPr="67C09ACE">
        <w:rPr>
          <w:rFonts w:ascii="Arial" w:eastAsia="Arial" w:hAnsi="Arial" w:cs="Arial"/>
          <w:color w:val="000000" w:themeColor="text1"/>
          <w:lang w:val="es"/>
        </w:rPr>
        <w:t>Aun así, el repunte de la IED no alcanzó para cerrar la brecha con la región (figura 4). En 2022 Colombia recibía flujos equivalentes al 5,0% del PIB, solo por debajo de Chile (6,2%), pero tras tres años de caída llegó a 2,5% en 2025. En el primer semestre de 2026 subió a 3,1%, aunque sus pares también se recuperaron, en especial Perú (4,0%) y México (3,4%), por lo que el país quedó en el último lugar del grupo. Esto sugiere que el deterioro de los años previos respondió en buena medida a factores propios del país y no a un menor interés por la región.</w:t>
      </w:r>
    </w:p>
    <w:p w14:paraId="33073703" w14:textId="155F857B" w:rsidR="55531CB9" w:rsidRDefault="55531CB9" w:rsidP="67C09ACE">
      <w:pPr>
        <w:spacing w:after="160" w:line="276" w:lineRule="auto"/>
      </w:pPr>
      <w:r w:rsidRPr="67C09ACE">
        <w:rPr>
          <w:rFonts w:ascii="Arial" w:eastAsia="Arial" w:hAnsi="Arial" w:cs="Arial"/>
          <w:color w:val="000000" w:themeColor="text1"/>
          <w:lang w:val="es"/>
        </w:rPr>
        <w:t>En contraste, la inversión de cartera pasó de entradas netas por US$ 2.378 m a salidas netas por US$ 5.621 m, por la recompra de deuda externa del Gobierno descrita anteriormente, pese a las compras netas de no residentes en el mercado local (US$ 2.811 m). La otra inversión, por su parte, pasó de una salida neta de US$ 927 m a una entrada de US$ 3.017 m, por la liquidación de depósitos en el exterior (US$ 2.823 m) y los desembolsos netos de créditos al sector público (US$ 290 m), que un año antes había amortizado US$ 1.651 m (Banco de la República, 2026a).</w:t>
      </w:r>
    </w:p>
    <w:p w14:paraId="2AB783E6" w14:textId="007DE309" w:rsidR="55531CB9" w:rsidRDefault="55531CB9" w:rsidP="67C09ACE">
      <w:pPr>
        <w:spacing w:after="160" w:line="276" w:lineRule="auto"/>
      </w:pPr>
      <w:r w:rsidRPr="67C09ACE">
        <w:rPr>
          <w:rFonts w:ascii="Arial" w:eastAsia="Arial" w:hAnsi="Arial" w:cs="Arial"/>
          <w:color w:val="000000" w:themeColor="text1"/>
          <w:lang w:val="es"/>
        </w:rPr>
        <w:t>Finalmente, los derivados financieros generaron pagos netos a residentes por US$ 1.216 m (US$ 345 m más que un año atrás), las reservas internacionales aumentaron US$ 1.093 m, en línea con la acumulación gradual del Banco de la República, y los errores y omisiones casi se duplicaron, hasta US$ 1.715 m.</w:t>
      </w:r>
    </w:p>
    <w:p w14:paraId="73E6A50E" w14:textId="1782B8FD" w:rsidR="72545DEA" w:rsidRDefault="72545DEA" w:rsidP="4E0ADCDF">
      <w:pPr>
        <w:spacing w:after="160" w:line="276" w:lineRule="auto"/>
      </w:pPr>
      <w:r w:rsidRPr="4E0ADCDF">
        <w:rPr>
          <w:rFonts w:ascii="Arial" w:eastAsia="Arial" w:hAnsi="Arial" w:cs="Arial"/>
          <w:color w:val="000000" w:themeColor="text1"/>
          <w:lang w:val="es"/>
        </w:rPr>
        <w:t>Más allá de los montos, el semestre invita a preguntarse por la calidad del financiamiento externo, aproximada como la proporción del déficit corriente cubierta por la inversión directa neta, su componente más estable. Este indicador superó el 100% en todos los trimestres de 2023 y 2024, cayó a 47% en 2025 y se recuperó a 113% en el primer semestre de 2026 (frente a 48% un año atrás), aunque de forma desigual: 278% en el primer trimestre y 68% en el segundo (Banco de la República, 2026b). Así, el déficit del segundo trimestre volvió a depender de fuentes menos estables, lo que exige seguir de cerca su evolución.</w:t>
      </w:r>
    </w:p>
    <w:p w14:paraId="30FBB216" w14:textId="577C111D" w:rsidR="00CE455A" w:rsidRDefault="00CE455A">
      <w:pPr>
        <w:rPr>
          <w:rFonts w:ascii="Arial" w:hAnsi="Arial" w:cs="Arial"/>
          <w:lang w:val="es-ES"/>
        </w:rPr>
      </w:pPr>
      <w:r w:rsidRPr="00B33D70">
        <w:rPr>
          <w:rFonts w:ascii="Arial" w:hAnsi="Arial" w:cs="Arial"/>
          <w:b/>
          <w:bCs/>
          <w:color w:val="000000"/>
          <w:sz w:val="22"/>
          <w:szCs w:val="22"/>
          <w:lang w:val="es-ES"/>
        </w:rPr>
        <w:t>C</w:t>
      </w:r>
      <w:r>
        <w:rPr>
          <w:rFonts w:ascii="Arial" w:hAnsi="Arial" w:cs="Arial"/>
          <w:b/>
          <w:bCs/>
          <w:color w:val="000000"/>
          <w:sz w:val="22"/>
          <w:szCs w:val="22"/>
          <w:lang w:val="es-ES"/>
        </w:rPr>
        <w:t>omparación con pares y tasa de cambio real</w:t>
      </w:r>
    </w:p>
    <w:p w14:paraId="3D55EE72" w14:textId="77777777" w:rsidR="00CE455A" w:rsidRPr="00CE455A" w:rsidRDefault="00CE455A">
      <w:pPr>
        <w:rPr>
          <w:rFonts w:ascii="Arial" w:hAnsi="Arial" w:cs="Arial"/>
          <w:lang w:val="es-ES"/>
        </w:rPr>
      </w:pPr>
    </w:p>
    <w:p w14:paraId="07FC9D3A" w14:textId="77777777" w:rsidR="00CE455A" w:rsidRDefault="00CE455A">
      <w:pPr>
        <w:rPr>
          <w:rFonts w:ascii="Arial" w:hAnsi="Arial" w:cs="Arial"/>
          <w:b/>
          <w:bCs/>
          <w:lang w:val="es-ES"/>
        </w:rPr>
      </w:pPr>
    </w:p>
    <w:p w14:paraId="05CBEA5E" w14:textId="77777777" w:rsidR="00CE455A" w:rsidRDefault="00CE455A">
      <w:pPr>
        <w:rPr>
          <w:rFonts w:ascii="Arial" w:hAnsi="Arial" w:cs="Arial"/>
          <w:b/>
          <w:bCs/>
          <w:lang w:val="es-ES"/>
        </w:rPr>
      </w:pPr>
    </w:p>
    <w:p w14:paraId="615396B6" w14:textId="77777777" w:rsidR="0096081C" w:rsidRDefault="0096081C">
      <w:pPr>
        <w:rPr>
          <w:rFonts w:ascii="Arial" w:hAnsi="Arial" w:cs="Arial"/>
          <w:b/>
          <w:bCs/>
          <w:lang w:val="es-ES"/>
        </w:rPr>
      </w:pPr>
    </w:p>
    <w:p w14:paraId="7BC2A360" w14:textId="77777777" w:rsidR="0096081C" w:rsidRDefault="0096081C">
      <w:pPr>
        <w:rPr>
          <w:rFonts w:ascii="Arial" w:hAnsi="Arial" w:cs="Arial"/>
          <w:b/>
          <w:bCs/>
          <w:lang w:val="es-ES"/>
        </w:rPr>
      </w:pPr>
    </w:p>
    <w:p w14:paraId="7D2BE20C" w14:textId="77777777" w:rsidR="0096081C" w:rsidRDefault="0096081C">
      <w:pPr>
        <w:rPr>
          <w:rFonts w:ascii="Arial" w:hAnsi="Arial" w:cs="Arial"/>
          <w:b/>
          <w:bCs/>
          <w:lang w:val="es-ES"/>
        </w:rPr>
      </w:pPr>
    </w:p>
    <w:p w14:paraId="6CD3F729" w14:textId="77777777" w:rsidR="0096081C" w:rsidRDefault="0096081C">
      <w:pPr>
        <w:rPr>
          <w:rFonts w:ascii="Arial" w:hAnsi="Arial" w:cs="Arial"/>
          <w:b/>
          <w:bCs/>
          <w:lang w:val="es-ES"/>
        </w:rPr>
      </w:pPr>
    </w:p>
    <w:p w14:paraId="7FD82195" w14:textId="77777777" w:rsidR="0096081C" w:rsidRDefault="0096081C">
      <w:pPr>
        <w:rPr>
          <w:rFonts w:ascii="Arial" w:hAnsi="Arial" w:cs="Arial"/>
          <w:b/>
          <w:bCs/>
          <w:lang w:val="es-ES"/>
        </w:rPr>
      </w:pPr>
    </w:p>
    <w:p w14:paraId="46A98DDD" w14:textId="77777777" w:rsidR="0096081C" w:rsidRDefault="0096081C">
      <w:pPr>
        <w:rPr>
          <w:rFonts w:ascii="Arial" w:hAnsi="Arial" w:cs="Arial"/>
          <w:b/>
          <w:bCs/>
          <w:lang w:val="es-ES"/>
        </w:rPr>
      </w:pPr>
    </w:p>
    <w:p w14:paraId="27FB93BD" w14:textId="77777777" w:rsidR="0096081C" w:rsidRDefault="0096081C">
      <w:pPr>
        <w:rPr>
          <w:rFonts w:ascii="Arial" w:hAnsi="Arial" w:cs="Arial"/>
          <w:b/>
          <w:bCs/>
          <w:lang w:val="es-ES"/>
        </w:rPr>
      </w:pPr>
    </w:p>
    <w:p w14:paraId="61B3324B" w14:textId="77777777" w:rsidR="0096081C" w:rsidRDefault="0096081C">
      <w:pPr>
        <w:rPr>
          <w:rFonts w:ascii="Arial" w:hAnsi="Arial" w:cs="Arial"/>
          <w:b/>
          <w:bCs/>
          <w:lang w:val="es-ES"/>
        </w:rPr>
      </w:pPr>
    </w:p>
    <w:p w14:paraId="57242BA9" w14:textId="77777777" w:rsidR="0096081C" w:rsidRDefault="0096081C">
      <w:pPr>
        <w:rPr>
          <w:rFonts w:ascii="Arial" w:hAnsi="Arial" w:cs="Arial"/>
          <w:b/>
          <w:bCs/>
          <w:lang w:val="es-ES"/>
        </w:rPr>
      </w:pPr>
    </w:p>
    <w:p w14:paraId="59CF088D" w14:textId="77777777" w:rsidR="0096081C" w:rsidRDefault="0096081C">
      <w:pPr>
        <w:rPr>
          <w:rFonts w:ascii="Arial" w:hAnsi="Arial" w:cs="Arial"/>
          <w:b/>
          <w:bCs/>
          <w:lang w:val="es-ES"/>
        </w:rPr>
      </w:pPr>
    </w:p>
    <w:p w14:paraId="5607AF85" w14:textId="77777777" w:rsidR="0096081C" w:rsidRDefault="0096081C">
      <w:pPr>
        <w:rPr>
          <w:rFonts w:ascii="Arial" w:hAnsi="Arial" w:cs="Arial"/>
          <w:b/>
          <w:bCs/>
          <w:lang w:val="es-ES"/>
        </w:rPr>
      </w:pPr>
    </w:p>
    <w:p w14:paraId="1C0C6909" w14:textId="77777777" w:rsidR="0096081C" w:rsidRDefault="0096081C">
      <w:pPr>
        <w:rPr>
          <w:rFonts w:ascii="Arial" w:hAnsi="Arial" w:cs="Arial"/>
          <w:b/>
          <w:bCs/>
          <w:lang w:val="es-ES"/>
        </w:rPr>
      </w:pPr>
    </w:p>
    <w:p w14:paraId="0C3533B7" w14:textId="77777777" w:rsidR="0096081C" w:rsidRDefault="0096081C">
      <w:pPr>
        <w:rPr>
          <w:rFonts w:ascii="Arial" w:hAnsi="Arial" w:cs="Arial"/>
          <w:b/>
          <w:bCs/>
          <w:lang w:val="es-ES"/>
        </w:rPr>
      </w:pPr>
    </w:p>
    <w:p w14:paraId="590F7C8D" w14:textId="77777777" w:rsidR="0096081C" w:rsidRDefault="0096081C">
      <w:pPr>
        <w:rPr>
          <w:rFonts w:ascii="Arial" w:hAnsi="Arial" w:cs="Arial"/>
          <w:b/>
          <w:bCs/>
          <w:lang w:val="es-ES"/>
        </w:rPr>
      </w:pPr>
    </w:p>
    <w:p w14:paraId="63072F58" w14:textId="77777777" w:rsidR="0096081C" w:rsidRDefault="0096081C">
      <w:pPr>
        <w:rPr>
          <w:rFonts w:ascii="Arial" w:hAnsi="Arial" w:cs="Arial"/>
          <w:b/>
          <w:bCs/>
          <w:lang w:val="es-ES"/>
        </w:rPr>
      </w:pPr>
    </w:p>
    <w:p w14:paraId="252523EF" w14:textId="77777777" w:rsidR="00177D39" w:rsidRDefault="00177D39">
      <w:pPr>
        <w:rPr>
          <w:rFonts w:ascii="Arial" w:hAnsi="Arial" w:cs="Arial"/>
          <w:b/>
          <w:bCs/>
          <w:lang w:val="es-ES"/>
        </w:rPr>
      </w:pPr>
    </w:p>
    <w:p w14:paraId="028846F3" w14:textId="77777777" w:rsidR="00177D39" w:rsidRDefault="00177D39">
      <w:pPr>
        <w:rPr>
          <w:rFonts w:ascii="Arial" w:hAnsi="Arial" w:cs="Arial"/>
          <w:b/>
          <w:bCs/>
          <w:lang w:val="es-ES"/>
        </w:rPr>
      </w:pPr>
    </w:p>
    <w:p w14:paraId="1721F221" w14:textId="77777777" w:rsidR="00177D39" w:rsidRDefault="00177D39">
      <w:pPr>
        <w:rPr>
          <w:rFonts w:ascii="Arial" w:hAnsi="Arial" w:cs="Arial"/>
          <w:b/>
          <w:bCs/>
          <w:lang w:val="es-ES"/>
        </w:rPr>
      </w:pPr>
    </w:p>
    <w:p w14:paraId="58228536" w14:textId="77777777" w:rsidR="00177D39" w:rsidRDefault="00177D39">
      <w:pPr>
        <w:rPr>
          <w:rFonts w:ascii="Arial" w:hAnsi="Arial" w:cs="Arial"/>
          <w:b/>
          <w:bCs/>
          <w:lang w:val="es-ES"/>
        </w:rPr>
      </w:pPr>
    </w:p>
    <w:p w14:paraId="76A6215D" w14:textId="77777777" w:rsidR="00177D39" w:rsidRDefault="00177D39">
      <w:pPr>
        <w:rPr>
          <w:rFonts w:ascii="Arial" w:hAnsi="Arial" w:cs="Arial"/>
          <w:b/>
          <w:bCs/>
          <w:lang w:val="es-ES"/>
        </w:rPr>
      </w:pPr>
    </w:p>
    <w:p w14:paraId="60F1FB47" w14:textId="77777777" w:rsidR="00177D39" w:rsidRDefault="00177D39">
      <w:pPr>
        <w:rPr>
          <w:rFonts w:ascii="Arial" w:hAnsi="Arial" w:cs="Arial"/>
          <w:b/>
          <w:bCs/>
          <w:lang w:val="es-ES"/>
        </w:rPr>
      </w:pPr>
    </w:p>
    <w:p w14:paraId="78CF24C2" w14:textId="4E82BFF6" w:rsidR="00CC7289" w:rsidRPr="00B33D70" w:rsidRDefault="00CE455A" w:rsidP="00CE455A">
      <w:pPr>
        <w:spacing w:after="160" w:line="259" w:lineRule="auto"/>
        <w:rPr>
          <w:rFonts w:ascii="Arial" w:hAnsi="Arial" w:cs="Arial"/>
          <w:b/>
          <w:bCs/>
          <w:lang w:val="es-ES"/>
        </w:rPr>
      </w:pPr>
      <w:r>
        <w:rPr>
          <w:rFonts w:ascii="Arial" w:hAnsi="Arial" w:cs="Arial"/>
          <w:b/>
          <w:bCs/>
          <w:lang w:val="es-ES"/>
        </w:rPr>
        <w:br w:type="page"/>
      </w:r>
      <w:r w:rsidR="00923BDC" w:rsidRPr="00B33D70">
        <w:rPr>
          <w:rFonts w:ascii="Arial" w:hAnsi="Arial" w:cs="Arial"/>
          <w:b/>
          <w:bCs/>
          <w:lang w:val="es-ES"/>
        </w:rPr>
        <w:lastRenderedPageBreak/>
        <w:t>Referencias</w:t>
      </w:r>
    </w:p>
    <w:p w14:paraId="093E7D9F" w14:textId="3B10D519" w:rsidR="009B45F4" w:rsidRPr="009B45F4" w:rsidRDefault="009B45F4" w:rsidP="009B45F4">
      <w:pPr>
        <w:pStyle w:val="NormalWeb"/>
        <w:spacing w:before="240" w:after="240"/>
        <w:ind w:left="720" w:hanging="720"/>
        <w:rPr>
          <w:rFonts w:ascii="Arial" w:hAnsi="Arial" w:cs="Arial"/>
          <w:sz w:val="22"/>
          <w:szCs w:val="22"/>
        </w:rPr>
      </w:pPr>
      <w:r w:rsidRPr="009B45F4">
        <w:rPr>
          <w:rFonts w:ascii="Arial" w:hAnsi="Arial" w:cs="Arial"/>
          <w:sz w:val="22"/>
          <w:szCs w:val="22"/>
        </w:rPr>
        <w:t>Banco Central de Chile. (2026). Balanza de pagos y posición de inversión internacional. https://www.bcentral.cl/areas/estadisticas/balanza-de-pagos-y-posicion-de-inversion-internacional</w:t>
      </w:r>
    </w:p>
    <w:p w14:paraId="093E7D9F" w14:textId="3B10D519" w:rsidR="009B45F4" w:rsidRPr="009B45F4" w:rsidRDefault="009B45F4" w:rsidP="009B45F4">
      <w:pPr>
        <w:pStyle w:val="NormalWeb"/>
        <w:spacing w:before="240" w:after="240"/>
        <w:ind w:left="720" w:hanging="720"/>
        <w:rPr>
          <w:rFonts w:ascii="Arial" w:hAnsi="Arial" w:cs="Arial"/>
          <w:sz w:val="22"/>
          <w:szCs w:val="22"/>
        </w:rPr>
      </w:pPr>
      <w:r w:rsidRPr="009B45F4">
        <w:rPr>
          <w:rFonts w:ascii="Arial" w:hAnsi="Arial" w:cs="Arial"/>
          <w:sz w:val="22"/>
          <w:szCs w:val="22"/>
        </w:rPr>
        <w:t>Banco Central de Reserva del Perú. (2026). Balanza de pagos (millones de US$) – trimestral (MBP6). https://estadisticas.bcrp.gob.pe/estadisticas/series/trimestrales/balanza-de-pagos-mill-usd-t-bpm6</w:t>
      </w:r>
    </w:p>
    <w:p w14:paraId="093E7D9F" w14:textId="3B10D519" w:rsidR="009B45F4" w:rsidRPr="009B45F4" w:rsidRDefault="009B45F4" w:rsidP="009B45F4">
      <w:pPr>
        <w:pStyle w:val="NormalWeb"/>
        <w:spacing w:before="240" w:after="240"/>
        <w:ind w:left="720" w:hanging="720"/>
        <w:rPr>
          <w:rFonts w:ascii="Arial" w:hAnsi="Arial" w:cs="Arial"/>
          <w:sz w:val="22"/>
          <w:szCs w:val="22"/>
        </w:rPr>
      </w:pPr>
      <w:r w:rsidRPr="009B45F4">
        <w:rPr>
          <w:rFonts w:ascii="Arial" w:hAnsi="Arial" w:cs="Arial"/>
          <w:sz w:val="22"/>
          <w:szCs w:val="22"/>
        </w:rPr>
        <w:t>Banco Central do Brasil. (2026). Tabelas especiais: setor externo. https://www.bcb.gov.br/estatisticas/tabelasespeciais</w:t>
      </w:r>
    </w:p>
    <w:p w14:paraId="093E7D9F" w14:textId="3B10D519" w:rsidR="009B45F4" w:rsidRPr="009B45F4" w:rsidRDefault="009B45F4" w:rsidP="009B45F4">
      <w:pPr>
        <w:pStyle w:val="NormalWeb"/>
        <w:spacing w:before="240" w:after="240"/>
        <w:ind w:left="720" w:hanging="720"/>
        <w:rPr>
          <w:rFonts w:ascii="Arial" w:hAnsi="Arial" w:cs="Arial"/>
          <w:sz w:val="22"/>
          <w:szCs w:val="22"/>
        </w:rPr>
      </w:pPr>
      <w:r w:rsidRPr="009B45F4">
        <w:rPr>
          <w:rFonts w:ascii="Arial" w:hAnsi="Arial" w:cs="Arial"/>
          <w:sz w:val="22"/>
          <w:szCs w:val="22"/>
        </w:rPr>
        <w:t>Banco de la República, (2025a)</w:t>
      </w:r>
      <w:r w:rsidR="00C53D05">
        <w:rPr>
          <w:rFonts w:ascii="Arial" w:hAnsi="Arial" w:cs="Arial"/>
          <w:sz w:val="22"/>
          <w:szCs w:val="22"/>
        </w:rPr>
        <w:t>.</w:t>
      </w:r>
      <w:r w:rsidRPr="009B45F4">
        <w:rPr>
          <w:rFonts w:ascii="Arial" w:hAnsi="Arial" w:cs="Arial"/>
          <w:sz w:val="22"/>
          <w:szCs w:val="22"/>
        </w:rPr>
        <w:t xml:space="preserve"> Informe de la evolución de la balanza de pagos y de la posición de inversión internacional abril a junio de 2025</w:t>
      </w:r>
      <w:r w:rsidR="00C53D05">
        <w:rPr>
          <w:rFonts w:ascii="Arial" w:hAnsi="Arial" w:cs="Arial"/>
          <w:sz w:val="22"/>
          <w:szCs w:val="22"/>
        </w:rPr>
        <w:t>.</w:t>
      </w:r>
      <w:r w:rsidRPr="009B45F4">
        <w:rPr>
          <w:rFonts w:ascii="Arial" w:hAnsi="Arial" w:cs="Arial"/>
          <w:sz w:val="22"/>
          <w:szCs w:val="22"/>
        </w:rPr>
        <w:t xml:space="preserve"> Departamento Técnico y de Información Económica y Subgerencia de Política Monetaria e Información Económica</w:t>
      </w:r>
      <w:r w:rsidR="00C53D05">
        <w:rPr>
          <w:rFonts w:ascii="Arial" w:hAnsi="Arial" w:cs="Arial"/>
          <w:sz w:val="22"/>
          <w:szCs w:val="22"/>
        </w:rPr>
        <w:t>.</w:t>
      </w:r>
      <w:r w:rsidR="00976407" w:rsidRPr="00976407">
        <w:t xml:space="preserve"> </w:t>
      </w:r>
      <w:r w:rsidR="00976407" w:rsidRPr="00976407">
        <w:rPr>
          <w:rFonts w:ascii="Arial" w:hAnsi="Arial" w:cs="Arial"/>
          <w:sz w:val="22"/>
          <w:szCs w:val="22"/>
        </w:rPr>
        <w:t>https://www.banrep.gov.co/es/publicaciones-investigaciones/informe-balanza-pagos/segundo-trimestre-2025</w:t>
      </w:r>
    </w:p>
    <w:p w14:paraId="0DE301A0" w14:textId="02B29CBA" w:rsidR="009B45F4" w:rsidRPr="009B45F4" w:rsidRDefault="009B45F4" w:rsidP="009B45F4">
      <w:pPr>
        <w:pStyle w:val="NormalWeb"/>
        <w:spacing w:before="240" w:after="240"/>
        <w:ind w:left="720" w:hanging="720"/>
        <w:rPr>
          <w:rFonts w:ascii="Arial" w:hAnsi="Arial" w:cs="Arial"/>
          <w:sz w:val="22"/>
          <w:szCs w:val="22"/>
        </w:rPr>
      </w:pPr>
      <w:r w:rsidRPr="009B45F4">
        <w:rPr>
          <w:rFonts w:ascii="Arial" w:hAnsi="Arial" w:cs="Arial"/>
          <w:sz w:val="22"/>
          <w:szCs w:val="22"/>
        </w:rPr>
        <w:t>Banco de la República, (2025b)</w:t>
      </w:r>
      <w:r w:rsidR="00335D04">
        <w:rPr>
          <w:rFonts w:ascii="Arial" w:hAnsi="Arial" w:cs="Arial"/>
          <w:sz w:val="22"/>
          <w:szCs w:val="22"/>
        </w:rPr>
        <w:t xml:space="preserve">. </w:t>
      </w:r>
      <w:r w:rsidRPr="009B45F4">
        <w:rPr>
          <w:rFonts w:ascii="Arial" w:hAnsi="Arial" w:cs="Arial"/>
          <w:sz w:val="22"/>
          <w:szCs w:val="22"/>
        </w:rPr>
        <w:t>Tablas preconstruidas: Balanza de pagos, Portal de Estadísticas Económicas</w:t>
      </w:r>
      <w:r w:rsidR="00335D04">
        <w:rPr>
          <w:rFonts w:ascii="Arial" w:hAnsi="Arial" w:cs="Arial"/>
          <w:sz w:val="22"/>
          <w:szCs w:val="22"/>
        </w:rPr>
        <w:t>.</w:t>
      </w:r>
      <w:r w:rsidRPr="009B45F4">
        <w:rPr>
          <w:rFonts w:ascii="Arial" w:hAnsi="Arial" w:cs="Arial"/>
          <w:sz w:val="22"/>
          <w:szCs w:val="22"/>
        </w:rPr>
        <w:t xml:space="preserve"> https://suameca.banrep.gov.co/estadisticas-economicas-back/reporte-oac.html?path=%2FEstadisticas_Banco_de_la_Republica%2F4_Sector_Externo_tasas_de_cambio_y_derivados%2F2_Sector_Externo%2F4_Balanza_de_pagos%2F2_Balanza_de_pagos_Maximo_nivel_de_detalle</w:t>
      </w:r>
    </w:p>
    <w:p w14:paraId="58C20727" w14:textId="311254AD" w:rsidR="009B45F4" w:rsidRPr="009B45F4" w:rsidRDefault="009B45F4" w:rsidP="009B45F4">
      <w:pPr>
        <w:pStyle w:val="NormalWeb"/>
        <w:spacing w:before="240" w:after="240"/>
        <w:ind w:left="720" w:hanging="720"/>
        <w:rPr>
          <w:rFonts w:ascii="Arial" w:hAnsi="Arial" w:cs="Arial"/>
          <w:sz w:val="22"/>
          <w:szCs w:val="22"/>
        </w:rPr>
      </w:pPr>
      <w:r w:rsidRPr="009B45F4">
        <w:rPr>
          <w:rFonts w:ascii="Arial" w:hAnsi="Arial" w:cs="Arial"/>
          <w:sz w:val="22"/>
          <w:szCs w:val="22"/>
        </w:rPr>
        <w:t>Banco de la República, (2025c)</w:t>
      </w:r>
      <w:r>
        <w:rPr>
          <w:rFonts w:ascii="Arial" w:hAnsi="Arial" w:cs="Arial"/>
          <w:sz w:val="22"/>
          <w:szCs w:val="22"/>
        </w:rPr>
        <w:t>.</w:t>
      </w:r>
      <w:r w:rsidRPr="009B45F4">
        <w:rPr>
          <w:rFonts w:ascii="Arial" w:hAnsi="Arial" w:cs="Arial"/>
          <w:sz w:val="22"/>
          <w:szCs w:val="22"/>
        </w:rPr>
        <w:t xml:space="preserve"> Tablas preconstruidas Inversión directa</w:t>
      </w:r>
      <w:r>
        <w:rPr>
          <w:rFonts w:ascii="Arial" w:hAnsi="Arial" w:cs="Arial"/>
          <w:sz w:val="22"/>
          <w:szCs w:val="22"/>
        </w:rPr>
        <w:t>.</w:t>
      </w:r>
      <w:r w:rsidRPr="009B45F4">
        <w:rPr>
          <w:rFonts w:ascii="Arial" w:hAnsi="Arial" w:cs="Arial"/>
          <w:sz w:val="22"/>
          <w:szCs w:val="22"/>
        </w:rPr>
        <w:t xml:space="preserve"> Portal de Estadísticas Económicas</w:t>
      </w:r>
      <w:r>
        <w:rPr>
          <w:rFonts w:ascii="Arial" w:hAnsi="Arial" w:cs="Arial"/>
          <w:sz w:val="22"/>
          <w:szCs w:val="22"/>
        </w:rPr>
        <w:t xml:space="preserve">. </w:t>
      </w:r>
      <w:r w:rsidRPr="009B45F4">
        <w:rPr>
          <w:rFonts w:ascii="Arial" w:hAnsi="Arial" w:cs="Arial"/>
          <w:sz w:val="22"/>
          <w:szCs w:val="22"/>
        </w:rPr>
        <w:t>https://suameca.banrep.gov.co/estadisticas-economicas/tablasPreconstruidas</w:t>
      </w:r>
    </w:p>
    <w:p w14:paraId="26994D91" w14:textId="27214F94" w:rsidR="009B45F4" w:rsidRPr="009B45F4" w:rsidRDefault="009B45F4" w:rsidP="009B45F4">
      <w:pPr>
        <w:pStyle w:val="NormalWeb"/>
        <w:spacing w:before="240" w:after="240"/>
        <w:ind w:left="720" w:hanging="720"/>
        <w:rPr>
          <w:rFonts w:ascii="Arial" w:hAnsi="Arial" w:cs="Arial"/>
          <w:sz w:val="22"/>
          <w:szCs w:val="22"/>
        </w:rPr>
      </w:pPr>
      <w:r w:rsidRPr="009B45F4">
        <w:rPr>
          <w:rFonts w:ascii="Arial" w:hAnsi="Arial" w:cs="Arial"/>
          <w:sz w:val="22"/>
          <w:szCs w:val="22"/>
        </w:rPr>
        <w:t>Banco de la República, (2025d)</w:t>
      </w:r>
      <w:r>
        <w:rPr>
          <w:rFonts w:ascii="Arial" w:hAnsi="Arial" w:cs="Arial"/>
          <w:sz w:val="22"/>
          <w:szCs w:val="22"/>
        </w:rPr>
        <w:t>.</w:t>
      </w:r>
      <w:r w:rsidRPr="009B45F4">
        <w:rPr>
          <w:rFonts w:ascii="Arial" w:hAnsi="Arial" w:cs="Arial"/>
          <w:sz w:val="22"/>
          <w:szCs w:val="22"/>
        </w:rPr>
        <w:t xml:space="preserve"> Tablas preconstruidas: Remesas de trabajadores</w:t>
      </w:r>
      <w:r>
        <w:rPr>
          <w:rFonts w:ascii="Arial" w:hAnsi="Arial" w:cs="Arial"/>
          <w:sz w:val="22"/>
          <w:szCs w:val="22"/>
        </w:rPr>
        <w:t>.</w:t>
      </w:r>
      <w:r w:rsidRPr="009B45F4">
        <w:rPr>
          <w:rFonts w:ascii="Arial" w:hAnsi="Arial" w:cs="Arial"/>
          <w:sz w:val="22"/>
          <w:szCs w:val="22"/>
        </w:rPr>
        <w:t xml:space="preserve"> Portal de Estadísticas Económicas</w:t>
      </w:r>
      <w:r>
        <w:rPr>
          <w:rFonts w:ascii="Arial" w:hAnsi="Arial" w:cs="Arial"/>
          <w:sz w:val="22"/>
          <w:szCs w:val="22"/>
        </w:rPr>
        <w:t>.</w:t>
      </w:r>
      <w:r w:rsidRPr="009B45F4">
        <w:rPr>
          <w:rFonts w:ascii="Arial" w:hAnsi="Arial" w:cs="Arial"/>
          <w:sz w:val="22"/>
          <w:szCs w:val="22"/>
        </w:rPr>
        <w:t xml:space="preserve"> https://suameca.banrep.gov.co/estadisticas-economicas/tablasPreconstruidas</w:t>
      </w:r>
    </w:p>
    <w:p w14:paraId="093E7D9F" w14:textId="3B10D519" w:rsidR="009B45F4" w:rsidRPr="009B45F4" w:rsidRDefault="009B45F4" w:rsidP="009B45F4">
      <w:pPr>
        <w:pStyle w:val="NormalWeb"/>
        <w:spacing w:before="240" w:after="240"/>
        <w:ind w:left="720" w:hanging="720"/>
        <w:rPr>
          <w:rFonts w:ascii="Arial" w:hAnsi="Arial" w:cs="Arial"/>
          <w:sz w:val="22"/>
          <w:szCs w:val="22"/>
        </w:rPr>
      </w:pPr>
      <w:r w:rsidRPr="009B45F4">
        <w:rPr>
          <w:rFonts w:ascii="Arial" w:hAnsi="Arial" w:cs="Arial"/>
          <w:sz w:val="22"/>
          <w:szCs w:val="22"/>
        </w:rPr>
        <w:t>Banco de México. (2026). Balanza de pagos (CE174). Sistema de Información Económica. https://www.banxico.org.mx/SieInternet/consultarDirectorioInternetAction.do?sector=1&amp;accion=consultarCuadro&amp;idCuadro=CE174&amp;locale=es</w:t>
      </w:r>
    </w:p>
    <w:p w14:paraId="4E66C93B" w14:textId="7A9319C0" w:rsidR="00923BDC" w:rsidRPr="009B45F4" w:rsidRDefault="009B45F4" w:rsidP="009B45F4">
      <w:pPr>
        <w:pStyle w:val="NormalWeb"/>
        <w:spacing w:before="240" w:beforeAutospacing="0" w:after="240" w:afterAutospacing="0"/>
        <w:ind w:left="720" w:hanging="720"/>
        <w:rPr>
          <w:rFonts w:ascii="Arial" w:hAnsi="Arial" w:cs="Arial"/>
          <w:sz w:val="22"/>
          <w:szCs w:val="22"/>
        </w:rPr>
      </w:pPr>
      <w:r w:rsidRPr="009B45F4">
        <w:rPr>
          <w:rFonts w:ascii="Arial" w:hAnsi="Arial" w:cs="Arial"/>
          <w:sz w:val="22"/>
          <w:szCs w:val="22"/>
        </w:rPr>
        <w:t>Departamento Administrativo Nacional de Estadística (DANE), (2025)</w:t>
      </w:r>
      <w:r>
        <w:rPr>
          <w:rFonts w:ascii="Arial" w:hAnsi="Arial" w:cs="Arial"/>
          <w:sz w:val="22"/>
          <w:szCs w:val="22"/>
        </w:rPr>
        <w:t>.</w:t>
      </w:r>
      <w:r w:rsidRPr="009B45F4">
        <w:rPr>
          <w:rFonts w:ascii="Arial" w:hAnsi="Arial" w:cs="Arial"/>
          <w:sz w:val="22"/>
          <w:szCs w:val="22"/>
        </w:rPr>
        <w:t xml:space="preserve"> Exportaciones – Comercio internacional</w:t>
      </w:r>
      <w:r>
        <w:rPr>
          <w:rFonts w:ascii="Arial" w:hAnsi="Arial" w:cs="Arial"/>
          <w:sz w:val="22"/>
          <w:szCs w:val="22"/>
        </w:rPr>
        <w:t>.</w:t>
      </w:r>
      <w:r w:rsidRPr="009B45F4">
        <w:rPr>
          <w:rFonts w:ascii="Arial" w:hAnsi="Arial" w:cs="Arial"/>
          <w:sz w:val="22"/>
          <w:szCs w:val="22"/>
        </w:rPr>
        <w:t xml:space="preserve"> https://www.dane.gov.co/index.php/estadisticas-por-tema/comercio-internacional/exportaciones</w:t>
      </w:r>
    </w:p>
    <w:p w14:paraId="4E66C93B" w14:textId="7A9319C0" w:rsidR="00923BDC" w:rsidRPr="009B45F4" w:rsidRDefault="009B45F4" w:rsidP="009B45F4">
      <w:pPr>
        <w:pStyle w:val="NormalWeb"/>
        <w:spacing w:before="240" w:beforeAutospacing="0" w:after="240" w:afterAutospacing="0"/>
        <w:ind w:left="720" w:hanging="720"/>
        <w:rPr>
          <w:rFonts w:ascii="Arial" w:hAnsi="Arial" w:cs="Arial"/>
          <w:sz w:val="22"/>
          <w:szCs w:val="22"/>
        </w:rPr>
      </w:pPr>
      <w:r w:rsidRPr="009B45F4">
        <w:rPr>
          <w:rFonts w:ascii="Arial" w:hAnsi="Arial" w:cs="Arial"/>
          <w:sz w:val="22"/>
          <w:szCs w:val="22"/>
        </w:rPr>
        <w:t>Ministerio de Hacienda y Crédito Público. (2026). Colombia redujo su deuda externa en USD 10.000 millones y baja su vulnerabilidad financiera. https://www.minhacienda.gov.co/w/colombia-redujo-su-deuda-externa-en-usd-10.000-millones-y-baja-su-vulnerabilidad-financiera</w:t>
      </w:r>
    </w:p>
    <w:sectPr w:rsidR="00923BDC" w:rsidRPr="009B45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B22238" w14:textId="77777777" w:rsidR="0098403F" w:rsidRDefault="0098403F" w:rsidP="00922E47">
      <w:r>
        <w:separator/>
      </w:r>
    </w:p>
  </w:endnote>
  <w:endnote w:type="continuationSeparator" w:id="0">
    <w:p w14:paraId="7D3C16B3" w14:textId="77777777" w:rsidR="0098403F" w:rsidRDefault="0098403F" w:rsidP="00922E47">
      <w:r>
        <w:continuationSeparator/>
      </w:r>
    </w:p>
  </w:endnote>
  <w:endnote w:type="continuationNotice" w:id="1">
    <w:p w14:paraId="7AFD252E" w14:textId="77777777" w:rsidR="0098403F" w:rsidRDefault="009840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C5F9EA" w14:textId="77777777" w:rsidR="0098403F" w:rsidRDefault="0098403F" w:rsidP="00922E47">
      <w:r>
        <w:separator/>
      </w:r>
    </w:p>
  </w:footnote>
  <w:footnote w:type="continuationSeparator" w:id="0">
    <w:p w14:paraId="674CF66B" w14:textId="77777777" w:rsidR="0098403F" w:rsidRDefault="0098403F" w:rsidP="00922E47">
      <w:r>
        <w:continuationSeparator/>
      </w:r>
    </w:p>
  </w:footnote>
  <w:footnote w:type="continuationNotice" w:id="1">
    <w:p w14:paraId="364B8BA2" w14:textId="77777777" w:rsidR="0098403F" w:rsidRDefault="0098403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933217"/>
    <w:multiLevelType w:val="multilevel"/>
    <w:tmpl w:val="A6E65F82"/>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21076543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BDC"/>
    <w:rsid w:val="00000AA9"/>
    <w:rsid w:val="00007DB2"/>
    <w:rsid w:val="000109C0"/>
    <w:rsid w:val="0001124C"/>
    <w:rsid w:val="00013644"/>
    <w:rsid w:val="00024678"/>
    <w:rsid w:val="000250AC"/>
    <w:rsid w:val="000279C2"/>
    <w:rsid w:val="000308FA"/>
    <w:rsid w:val="0003573A"/>
    <w:rsid w:val="0003690D"/>
    <w:rsid w:val="000429B5"/>
    <w:rsid w:val="00050812"/>
    <w:rsid w:val="00051E7D"/>
    <w:rsid w:val="00053CEB"/>
    <w:rsid w:val="0005406D"/>
    <w:rsid w:val="0006196F"/>
    <w:rsid w:val="00061976"/>
    <w:rsid w:val="00065E3D"/>
    <w:rsid w:val="00066EBA"/>
    <w:rsid w:val="00072666"/>
    <w:rsid w:val="00077127"/>
    <w:rsid w:val="000825BB"/>
    <w:rsid w:val="00087037"/>
    <w:rsid w:val="00087B7E"/>
    <w:rsid w:val="00087B8C"/>
    <w:rsid w:val="00090EB8"/>
    <w:rsid w:val="00092127"/>
    <w:rsid w:val="00092B88"/>
    <w:rsid w:val="000949E3"/>
    <w:rsid w:val="000955FE"/>
    <w:rsid w:val="000A1E33"/>
    <w:rsid w:val="000A4FC2"/>
    <w:rsid w:val="000A57D8"/>
    <w:rsid w:val="000B2A7B"/>
    <w:rsid w:val="000B4631"/>
    <w:rsid w:val="000B709B"/>
    <w:rsid w:val="000B79C5"/>
    <w:rsid w:val="000B7AD0"/>
    <w:rsid w:val="000C3226"/>
    <w:rsid w:val="000C7962"/>
    <w:rsid w:val="000D3006"/>
    <w:rsid w:val="000E03D6"/>
    <w:rsid w:val="000E150F"/>
    <w:rsid w:val="000E2488"/>
    <w:rsid w:val="000E6297"/>
    <w:rsid w:val="000E6BD6"/>
    <w:rsid w:val="000E7188"/>
    <w:rsid w:val="000E7A6D"/>
    <w:rsid w:val="00102923"/>
    <w:rsid w:val="00102FEF"/>
    <w:rsid w:val="00103746"/>
    <w:rsid w:val="001052A8"/>
    <w:rsid w:val="0010548F"/>
    <w:rsid w:val="0010648E"/>
    <w:rsid w:val="00107AC9"/>
    <w:rsid w:val="00111C26"/>
    <w:rsid w:val="0011594E"/>
    <w:rsid w:val="00116C06"/>
    <w:rsid w:val="00116CD9"/>
    <w:rsid w:val="00117644"/>
    <w:rsid w:val="00117DD1"/>
    <w:rsid w:val="001212AF"/>
    <w:rsid w:val="0012341E"/>
    <w:rsid w:val="0012357A"/>
    <w:rsid w:val="00125946"/>
    <w:rsid w:val="0013175B"/>
    <w:rsid w:val="00131BCC"/>
    <w:rsid w:val="0013625D"/>
    <w:rsid w:val="001375E5"/>
    <w:rsid w:val="001432BC"/>
    <w:rsid w:val="001443C5"/>
    <w:rsid w:val="00145F8C"/>
    <w:rsid w:val="00147D64"/>
    <w:rsid w:val="0015397D"/>
    <w:rsid w:val="0015480A"/>
    <w:rsid w:val="00161B01"/>
    <w:rsid w:val="00162F40"/>
    <w:rsid w:val="001642B4"/>
    <w:rsid w:val="001662E7"/>
    <w:rsid w:val="00170CF1"/>
    <w:rsid w:val="00171194"/>
    <w:rsid w:val="00171B52"/>
    <w:rsid w:val="0017206B"/>
    <w:rsid w:val="001744BA"/>
    <w:rsid w:val="00174AFC"/>
    <w:rsid w:val="00177D39"/>
    <w:rsid w:val="00177F13"/>
    <w:rsid w:val="00187DD0"/>
    <w:rsid w:val="00193100"/>
    <w:rsid w:val="00194DD2"/>
    <w:rsid w:val="001955D3"/>
    <w:rsid w:val="00196478"/>
    <w:rsid w:val="001A077D"/>
    <w:rsid w:val="001A40EF"/>
    <w:rsid w:val="001B2BBB"/>
    <w:rsid w:val="001B4A77"/>
    <w:rsid w:val="001B5317"/>
    <w:rsid w:val="001C05C7"/>
    <w:rsid w:val="001C0979"/>
    <w:rsid w:val="001C1635"/>
    <w:rsid w:val="001C4E42"/>
    <w:rsid w:val="001D2DB9"/>
    <w:rsid w:val="001D42ED"/>
    <w:rsid w:val="001D601B"/>
    <w:rsid w:val="001D66B7"/>
    <w:rsid w:val="001D7254"/>
    <w:rsid w:val="001D7BE9"/>
    <w:rsid w:val="001E557D"/>
    <w:rsid w:val="001F541A"/>
    <w:rsid w:val="001F5F0D"/>
    <w:rsid w:val="001F7C89"/>
    <w:rsid w:val="002066CF"/>
    <w:rsid w:val="00212028"/>
    <w:rsid w:val="002139BC"/>
    <w:rsid w:val="00216B37"/>
    <w:rsid w:val="00220CB6"/>
    <w:rsid w:val="00225B48"/>
    <w:rsid w:val="00227554"/>
    <w:rsid w:val="00230C15"/>
    <w:rsid w:val="00231EEE"/>
    <w:rsid w:val="002323D5"/>
    <w:rsid w:val="00232B47"/>
    <w:rsid w:val="0023425B"/>
    <w:rsid w:val="00235F80"/>
    <w:rsid w:val="0023753C"/>
    <w:rsid w:val="00237CFD"/>
    <w:rsid w:val="00240D62"/>
    <w:rsid w:val="0024222B"/>
    <w:rsid w:val="00243934"/>
    <w:rsid w:val="00245F54"/>
    <w:rsid w:val="0025138A"/>
    <w:rsid w:val="00251EC3"/>
    <w:rsid w:val="0026071F"/>
    <w:rsid w:val="00264279"/>
    <w:rsid w:val="00264503"/>
    <w:rsid w:val="00270B8D"/>
    <w:rsid w:val="002749EA"/>
    <w:rsid w:val="00276492"/>
    <w:rsid w:val="002777FD"/>
    <w:rsid w:val="00281B43"/>
    <w:rsid w:val="002823D5"/>
    <w:rsid w:val="00284E10"/>
    <w:rsid w:val="0029105B"/>
    <w:rsid w:val="00292DBF"/>
    <w:rsid w:val="00295590"/>
    <w:rsid w:val="002A152C"/>
    <w:rsid w:val="002A1ABD"/>
    <w:rsid w:val="002A28DF"/>
    <w:rsid w:val="002A5A17"/>
    <w:rsid w:val="002A7E14"/>
    <w:rsid w:val="002B02E3"/>
    <w:rsid w:val="002B04CD"/>
    <w:rsid w:val="002B090C"/>
    <w:rsid w:val="002B0D89"/>
    <w:rsid w:val="002B363C"/>
    <w:rsid w:val="002B575B"/>
    <w:rsid w:val="002B5811"/>
    <w:rsid w:val="002C4728"/>
    <w:rsid w:val="002C7D45"/>
    <w:rsid w:val="002D226C"/>
    <w:rsid w:val="002E21E2"/>
    <w:rsid w:val="002E372C"/>
    <w:rsid w:val="002F28A6"/>
    <w:rsid w:val="002F2F12"/>
    <w:rsid w:val="002F6506"/>
    <w:rsid w:val="002F6CED"/>
    <w:rsid w:val="002F726B"/>
    <w:rsid w:val="0030462B"/>
    <w:rsid w:val="003050B3"/>
    <w:rsid w:val="00305D15"/>
    <w:rsid w:val="0030694D"/>
    <w:rsid w:val="0031253C"/>
    <w:rsid w:val="00313029"/>
    <w:rsid w:val="003130BF"/>
    <w:rsid w:val="00314795"/>
    <w:rsid w:val="0032093A"/>
    <w:rsid w:val="00323727"/>
    <w:rsid w:val="003242AA"/>
    <w:rsid w:val="00327AEF"/>
    <w:rsid w:val="00330853"/>
    <w:rsid w:val="00331AAC"/>
    <w:rsid w:val="00335D04"/>
    <w:rsid w:val="00337DCB"/>
    <w:rsid w:val="003403A9"/>
    <w:rsid w:val="00347356"/>
    <w:rsid w:val="0034761A"/>
    <w:rsid w:val="003509EF"/>
    <w:rsid w:val="00352106"/>
    <w:rsid w:val="00354C8B"/>
    <w:rsid w:val="003560DB"/>
    <w:rsid w:val="00361C47"/>
    <w:rsid w:val="003628F0"/>
    <w:rsid w:val="00362BBE"/>
    <w:rsid w:val="00363F35"/>
    <w:rsid w:val="00367F3B"/>
    <w:rsid w:val="00371E11"/>
    <w:rsid w:val="00372BDF"/>
    <w:rsid w:val="003764F1"/>
    <w:rsid w:val="0038156B"/>
    <w:rsid w:val="00381DC1"/>
    <w:rsid w:val="00381FD6"/>
    <w:rsid w:val="00386EDB"/>
    <w:rsid w:val="0039102F"/>
    <w:rsid w:val="00392319"/>
    <w:rsid w:val="00393D47"/>
    <w:rsid w:val="003941DC"/>
    <w:rsid w:val="00394FB8"/>
    <w:rsid w:val="00395F6B"/>
    <w:rsid w:val="00397691"/>
    <w:rsid w:val="003A0C1D"/>
    <w:rsid w:val="003A380D"/>
    <w:rsid w:val="003A4F25"/>
    <w:rsid w:val="003B0360"/>
    <w:rsid w:val="003B064C"/>
    <w:rsid w:val="003B42E5"/>
    <w:rsid w:val="003B5693"/>
    <w:rsid w:val="003B7E22"/>
    <w:rsid w:val="003C032F"/>
    <w:rsid w:val="003C52C2"/>
    <w:rsid w:val="003C6931"/>
    <w:rsid w:val="003C6F75"/>
    <w:rsid w:val="003D01E1"/>
    <w:rsid w:val="003D1D9F"/>
    <w:rsid w:val="003D3E3D"/>
    <w:rsid w:val="003D4D20"/>
    <w:rsid w:val="003F061B"/>
    <w:rsid w:val="003F0C7E"/>
    <w:rsid w:val="003F4D44"/>
    <w:rsid w:val="0040017C"/>
    <w:rsid w:val="00402946"/>
    <w:rsid w:val="00402CF9"/>
    <w:rsid w:val="0040506B"/>
    <w:rsid w:val="00406DDF"/>
    <w:rsid w:val="004079E0"/>
    <w:rsid w:val="00412BE3"/>
    <w:rsid w:val="00417E9F"/>
    <w:rsid w:val="00423DBE"/>
    <w:rsid w:val="00424C80"/>
    <w:rsid w:val="004260FD"/>
    <w:rsid w:val="00430741"/>
    <w:rsid w:val="0043274C"/>
    <w:rsid w:val="004349BF"/>
    <w:rsid w:val="00443585"/>
    <w:rsid w:val="00443DCF"/>
    <w:rsid w:val="00444728"/>
    <w:rsid w:val="0044556B"/>
    <w:rsid w:val="004568A8"/>
    <w:rsid w:val="0046004E"/>
    <w:rsid w:val="00462FCB"/>
    <w:rsid w:val="00463196"/>
    <w:rsid w:val="00463719"/>
    <w:rsid w:val="00464A6D"/>
    <w:rsid w:val="00466C99"/>
    <w:rsid w:val="00467450"/>
    <w:rsid w:val="00471951"/>
    <w:rsid w:val="00473307"/>
    <w:rsid w:val="0047534E"/>
    <w:rsid w:val="004763D0"/>
    <w:rsid w:val="004773FA"/>
    <w:rsid w:val="0048046F"/>
    <w:rsid w:val="00483B53"/>
    <w:rsid w:val="004912EC"/>
    <w:rsid w:val="00492D4D"/>
    <w:rsid w:val="004949CF"/>
    <w:rsid w:val="00494B65"/>
    <w:rsid w:val="004A4082"/>
    <w:rsid w:val="004A7252"/>
    <w:rsid w:val="004A7E29"/>
    <w:rsid w:val="004B1349"/>
    <w:rsid w:val="004B17E8"/>
    <w:rsid w:val="004B2A63"/>
    <w:rsid w:val="004B6492"/>
    <w:rsid w:val="004B6F9A"/>
    <w:rsid w:val="004B78F2"/>
    <w:rsid w:val="004B7B2B"/>
    <w:rsid w:val="004C1AD4"/>
    <w:rsid w:val="004C220B"/>
    <w:rsid w:val="004C27BF"/>
    <w:rsid w:val="004C2A93"/>
    <w:rsid w:val="004C5B76"/>
    <w:rsid w:val="004C62CD"/>
    <w:rsid w:val="004C6AD9"/>
    <w:rsid w:val="004D1E64"/>
    <w:rsid w:val="004D31F0"/>
    <w:rsid w:val="004D53C1"/>
    <w:rsid w:val="004D753F"/>
    <w:rsid w:val="004D7594"/>
    <w:rsid w:val="004E28CE"/>
    <w:rsid w:val="004E3647"/>
    <w:rsid w:val="004E6BC6"/>
    <w:rsid w:val="004F0B1B"/>
    <w:rsid w:val="004F1DE6"/>
    <w:rsid w:val="004F65F4"/>
    <w:rsid w:val="00501A89"/>
    <w:rsid w:val="00505D0F"/>
    <w:rsid w:val="00513450"/>
    <w:rsid w:val="005135DB"/>
    <w:rsid w:val="0051749D"/>
    <w:rsid w:val="00517BA2"/>
    <w:rsid w:val="00517BE7"/>
    <w:rsid w:val="00522160"/>
    <w:rsid w:val="00523B7F"/>
    <w:rsid w:val="00530B40"/>
    <w:rsid w:val="005327CB"/>
    <w:rsid w:val="005336DC"/>
    <w:rsid w:val="00533F79"/>
    <w:rsid w:val="00535FE7"/>
    <w:rsid w:val="005365D1"/>
    <w:rsid w:val="00537EBB"/>
    <w:rsid w:val="00540680"/>
    <w:rsid w:val="00541372"/>
    <w:rsid w:val="0054323A"/>
    <w:rsid w:val="00552A36"/>
    <w:rsid w:val="00552D04"/>
    <w:rsid w:val="005530B7"/>
    <w:rsid w:val="00553695"/>
    <w:rsid w:val="0055434A"/>
    <w:rsid w:val="00556F53"/>
    <w:rsid w:val="005637FA"/>
    <w:rsid w:val="00563F1B"/>
    <w:rsid w:val="00575904"/>
    <w:rsid w:val="00581183"/>
    <w:rsid w:val="005826DF"/>
    <w:rsid w:val="005826FC"/>
    <w:rsid w:val="005834DA"/>
    <w:rsid w:val="00586430"/>
    <w:rsid w:val="00592971"/>
    <w:rsid w:val="005A0C7F"/>
    <w:rsid w:val="005B0E0E"/>
    <w:rsid w:val="005B0FBE"/>
    <w:rsid w:val="005B1EDF"/>
    <w:rsid w:val="005B25D0"/>
    <w:rsid w:val="005B37C3"/>
    <w:rsid w:val="005C25CF"/>
    <w:rsid w:val="005C7A9A"/>
    <w:rsid w:val="005D1E69"/>
    <w:rsid w:val="005D336C"/>
    <w:rsid w:val="005D383B"/>
    <w:rsid w:val="005D78D8"/>
    <w:rsid w:val="005E058A"/>
    <w:rsid w:val="005E1548"/>
    <w:rsid w:val="005E1CDE"/>
    <w:rsid w:val="005E730C"/>
    <w:rsid w:val="005F08F6"/>
    <w:rsid w:val="005F1AE3"/>
    <w:rsid w:val="005F2CAC"/>
    <w:rsid w:val="005F5DB1"/>
    <w:rsid w:val="005F666A"/>
    <w:rsid w:val="006022A7"/>
    <w:rsid w:val="0060508F"/>
    <w:rsid w:val="00610F3F"/>
    <w:rsid w:val="0061172C"/>
    <w:rsid w:val="00611902"/>
    <w:rsid w:val="00612A63"/>
    <w:rsid w:val="00612B4E"/>
    <w:rsid w:val="00612D59"/>
    <w:rsid w:val="00613956"/>
    <w:rsid w:val="006150FC"/>
    <w:rsid w:val="00621867"/>
    <w:rsid w:val="0062518F"/>
    <w:rsid w:val="00625F93"/>
    <w:rsid w:val="00630819"/>
    <w:rsid w:val="00632AE1"/>
    <w:rsid w:val="00636EAB"/>
    <w:rsid w:val="00642CDA"/>
    <w:rsid w:val="006501C4"/>
    <w:rsid w:val="0065040D"/>
    <w:rsid w:val="00651515"/>
    <w:rsid w:val="00652CEC"/>
    <w:rsid w:val="00653DF2"/>
    <w:rsid w:val="0065444F"/>
    <w:rsid w:val="006556B5"/>
    <w:rsid w:val="00656A99"/>
    <w:rsid w:val="00656DAB"/>
    <w:rsid w:val="006609A4"/>
    <w:rsid w:val="00665198"/>
    <w:rsid w:val="00665E97"/>
    <w:rsid w:val="00665FC8"/>
    <w:rsid w:val="006700C0"/>
    <w:rsid w:val="00672DEA"/>
    <w:rsid w:val="006730FA"/>
    <w:rsid w:val="00673E48"/>
    <w:rsid w:val="0067479B"/>
    <w:rsid w:val="00674CA5"/>
    <w:rsid w:val="00675C2D"/>
    <w:rsid w:val="006762F2"/>
    <w:rsid w:val="00676822"/>
    <w:rsid w:val="006800E1"/>
    <w:rsid w:val="006829CA"/>
    <w:rsid w:val="006832A8"/>
    <w:rsid w:val="00684406"/>
    <w:rsid w:val="006853D9"/>
    <w:rsid w:val="00691962"/>
    <w:rsid w:val="00691BE9"/>
    <w:rsid w:val="006A0D3E"/>
    <w:rsid w:val="006A17B0"/>
    <w:rsid w:val="006A1A2D"/>
    <w:rsid w:val="006A2273"/>
    <w:rsid w:val="006A29E1"/>
    <w:rsid w:val="006A2AD6"/>
    <w:rsid w:val="006A3075"/>
    <w:rsid w:val="006A3960"/>
    <w:rsid w:val="006A5A9F"/>
    <w:rsid w:val="006A774C"/>
    <w:rsid w:val="006B18FC"/>
    <w:rsid w:val="006B4F77"/>
    <w:rsid w:val="006B51CE"/>
    <w:rsid w:val="006C4067"/>
    <w:rsid w:val="006C4C7F"/>
    <w:rsid w:val="006C57CE"/>
    <w:rsid w:val="006C73DD"/>
    <w:rsid w:val="006D0A0E"/>
    <w:rsid w:val="006E029E"/>
    <w:rsid w:val="006E17D8"/>
    <w:rsid w:val="006E2B5D"/>
    <w:rsid w:val="006E2D7D"/>
    <w:rsid w:val="006F2D36"/>
    <w:rsid w:val="006F65F4"/>
    <w:rsid w:val="00702DD1"/>
    <w:rsid w:val="00703AE5"/>
    <w:rsid w:val="00706200"/>
    <w:rsid w:val="00706D28"/>
    <w:rsid w:val="0071133D"/>
    <w:rsid w:val="007140A8"/>
    <w:rsid w:val="00715261"/>
    <w:rsid w:val="0071691E"/>
    <w:rsid w:val="00717DD7"/>
    <w:rsid w:val="0072507E"/>
    <w:rsid w:val="00733AFA"/>
    <w:rsid w:val="00733B0B"/>
    <w:rsid w:val="00734A40"/>
    <w:rsid w:val="00734B5E"/>
    <w:rsid w:val="007400A1"/>
    <w:rsid w:val="00751F5C"/>
    <w:rsid w:val="00755E2C"/>
    <w:rsid w:val="007567F7"/>
    <w:rsid w:val="007572AD"/>
    <w:rsid w:val="007612AA"/>
    <w:rsid w:val="00761639"/>
    <w:rsid w:val="00764246"/>
    <w:rsid w:val="0077175C"/>
    <w:rsid w:val="00774E50"/>
    <w:rsid w:val="00775ECE"/>
    <w:rsid w:val="007818B4"/>
    <w:rsid w:val="00781FB3"/>
    <w:rsid w:val="00782BB9"/>
    <w:rsid w:val="00783C74"/>
    <w:rsid w:val="007855B3"/>
    <w:rsid w:val="0079070B"/>
    <w:rsid w:val="0079127E"/>
    <w:rsid w:val="0079342A"/>
    <w:rsid w:val="00794B97"/>
    <w:rsid w:val="00796663"/>
    <w:rsid w:val="007A1B2B"/>
    <w:rsid w:val="007A21B7"/>
    <w:rsid w:val="007A2A6D"/>
    <w:rsid w:val="007A4E62"/>
    <w:rsid w:val="007A737F"/>
    <w:rsid w:val="007B1790"/>
    <w:rsid w:val="007B18AD"/>
    <w:rsid w:val="007B2DAA"/>
    <w:rsid w:val="007B7C82"/>
    <w:rsid w:val="007C1288"/>
    <w:rsid w:val="007C1FBC"/>
    <w:rsid w:val="007C4024"/>
    <w:rsid w:val="007C658B"/>
    <w:rsid w:val="007C69C0"/>
    <w:rsid w:val="007D0452"/>
    <w:rsid w:val="007D0BBF"/>
    <w:rsid w:val="007D3E23"/>
    <w:rsid w:val="007E09B9"/>
    <w:rsid w:val="007E2BAD"/>
    <w:rsid w:val="007E3CF9"/>
    <w:rsid w:val="007F3EF3"/>
    <w:rsid w:val="007F6938"/>
    <w:rsid w:val="008022FE"/>
    <w:rsid w:val="00810661"/>
    <w:rsid w:val="0081293A"/>
    <w:rsid w:val="00812E97"/>
    <w:rsid w:val="008133FB"/>
    <w:rsid w:val="00813904"/>
    <w:rsid w:val="00821A59"/>
    <w:rsid w:val="00823081"/>
    <w:rsid w:val="00823F9F"/>
    <w:rsid w:val="00825BEE"/>
    <w:rsid w:val="00826882"/>
    <w:rsid w:val="00836D4E"/>
    <w:rsid w:val="00837A97"/>
    <w:rsid w:val="008434B9"/>
    <w:rsid w:val="008469D5"/>
    <w:rsid w:val="00846B7C"/>
    <w:rsid w:val="00847F4E"/>
    <w:rsid w:val="0085182D"/>
    <w:rsid w:val="00854136"/>
    <w:rsid w:val="0085517D"/>
    <w:rsid w:val="00856071"/>
    <w:rsid w:val="008617F0"/>
    <w:rsid w:val="00863F9B"/>
    <w:rsid w:val="00867018"/>
    <w:rsid w:val="00870A2A"/>
    <w:rsid w:val="00872BE3"/>
    <w:rsid w:val="00875B00"/>
    <w:rsid w:val="00876D25"/>
    <w:rsid w:val="008776F1"/>
    <w:rsid w:val="00887494"/>
    <w:rsid w:val="00887570"/>
    <w:rsid w:val="00891C20"/>
    <w:rsid w:val="00895E44"/>
    <w:rsid w:val="008A6C65"/>
    <w:rsid w:val="008B0382"/>
    <w:rsid w:val="008B04B7"/>
    <w:rsid w:val="008B2E4C"/>
    <w:rsid w:val="008B596D"/>
    <w:rsid w:val="008B605B"/>
    <w:rsid w:val="008B7CF6"/>
    <w:rsid w:val="008C07ED"/>
    <w:rsid w:val="008C1651"/>
    <w:rsid w:val="008C22E1"/>
    <w:rsid w:val="008C2C7B"/>
    <w:rsid w:val="008C4E76"/>
    <w:rsid w:val="008C50FC"/>
    <w:rsid w:val="008C5D5E"/>
    <w:rsid w:val="008C70E1"/>
    <w:rsid w:val="008C7372"/>
    <w:rsid w:val="008C7870"/>
    <w:rsid w:val="008C7A77"/>
    <w:rsid w:val="008D3C46"/>
    <w:rsid w:val="008D3D35"/>
    <w:rsid w:val="008E256C"/>
    <w:rsid w:val="008E4302"/>
    <w:rsid w:val="008F3597"/>
    <w:rsid w:val="008F43FF"/>
    <w:rsid w:val="008F62D1"/>
    <w:rsid w:val="0090610B"/>
    <w:rsid w:val="009071DA"/>
    <w:rsid w:val="009100C1"/>
    <w:rsid w:val="0091411C"/>
    <w:rsid w:val="009155DD"/>
    <w:rsid w:val="00922818"/>
    <w:rsid w:val="00922E47"/>
    <w:rsid w:val="00923172"/>
    <w:rsid w:val="00923BDC"/>
    <w:rsid w:val="00926067"/>
    <w:rsid w:val="00926854"/>
    <w:rsid w:val="00940651"/>
    <w:rsid w:val="00941EF3"/>
    <w:rsid w:val="0094414B"/>
    <w:rsid w:val="0094459F"/>
    <w:rsid w:val="00944F4F"/>
    <w:rsid w:val="00945ED1"/>
    <w:rsid w:val="009465A1"/>
    <w:rsid w:val="009523F2"/>
    <w:rsid w:val="009535F8"/>
    <w:rsid w:val="00954F41"/>
    <w:rsid w:val="009569A6"/>
    <w:rsid w:val="00956E57"/>
    <w:rsid w:val="0096009B"/>
    <w:rsid w:val="0096081C"/>
    <w:rsid w:val="0096148C"/>
    <w:rsid w:val="00967E49"/>
    <w:rsid w:val="00973887"/>
    <w:rsid w:val="00974B85"/>
    <w:rsid w:val="00975B2A"/>
    <w:rsid w:val="00975C79"/>
    <w:rsid w:val="00976407"/>
    <w:rsid w:val="00980550"/>
    <w:rsid w:val="009817A7"/>
    <w:rsid w:val="0098403F"/>
    <w:rsid w:val="00984187"/>
    <w:rsid w:val="00986D36"/>
    <w:rsid w:val="009871DE"/>
    <w:rsid w:val="00991F80"/>
    <w:rsid w:val="009920F1"/>
    <w:rsid w:val="009921C8"/>
    <w:rsid w:val="0099303C"/>
    <w:rsid w:val="009944AF"/>
    <w:rsid w:val="009968E7"/>
    <w:rsid w:val="00996AE0"/>
    <w:rsid w:val="0099742D"/>
    <w:rsid w:val="009A0663"/>
    <w:rsid w:val="009A768B"/>
    <w:rsid w:val="009B07D0"/>
    <w:rsid w:val="009B0A73"/>
    <w:rsid w:val="009B3E16"/>
    <w:rsid w:val="009B45F4"/>
    <w:rsid w:val="009C158D"/>
    <w:rsid w:val="009C3D16"/>
    <w:rsid w:val="009C5E4F"/>
    <w:rsid w:val="009C6FCD"/>
    <w:rsid w:val="009C7669"/>
    <w:rsid w:val="009D1BDA"/>
    <w:rsid w:val="009D6443"/>
    <w:rsid w:val="009E586B"/>
    <w:rsid w:val="009E62B6"/>
    <w:rsid w:val="009E64AA"/>
    <w:rsid w:val="009E6DF1"/>
    <w:rsid w:val="009E7FB0"/>
    <w:rsid w:val="009F3108"/>
    <w:rsid w:val="009F3D56"/>
    <w:rsid w:val="009F5A14"/>
    <w:rsid w:val="00A02415"/>
    <w:rsid w:val="00A0327D"/>
    <w:rsid w:val="00A034E9"/>
    <w:rsid w:val="00A060AD"/>
    <w:rsid w:val="00A12C56"/>
    <w:rsid w:val="00A32B90"/>
    <w:rsid w:val="00A3393C"/>
    <w:rsid w:val="00A34DBB"/>
    <w:rsid w:val="00A40134"/>
    <w:rsid w:val="00A4124F"/>
    <w:rsid w:val="00A413ED"/>
    <w:rsid w:val="00A425A6"/>
    <w:rsid w:val="00A430E7"/>
    <w:rsid w:val="00A452AB"/>
    <w:rsid w:val="00A459B8"/>
    <w:rsid w:val="00A47E3A"/>
    <w:rsid w:val="00A5181B"/>
    <w:rsid w:val="00A547B1"/>
    <w:rsid w:val="00A5657E"/>
    <w:rsid w:val="00A56F12"/>
    <w:rsid w:val="00A577B3"/>
    <w:rsid w:val="00A602F1"/>
    <w:rsid w:val="00A618A5"/>
    <w:rsid w:val="00A6266D"/>
    <w:rsid w:val="00A63F8D"/>
    <w:rsid w:val="00A70140"/>
    <w:rsid w:val="00A72500"/>
    <w:rsid w:val="00A73E5E"/>
    <w:rsid w:val="00A7621B"/>
    <w:rsid w:val="00A76E8E"/>
    <w:rsid w:val="00A77486"/>
    <w:rsid w:val="00A778DA"/>
    <w:rsid w:val="00A81471"/>
    <w:rsid w:val="00A84434"/>
    <w:rsid w:val="00A845AD"/>
    <w:rsid w:val="00A86336"/>
    <w:rsid w:val="00A8789F"/>
    <w:rsid w:val="00A96C43"/>
    <w:rsid w:val="00A97888"/>
    <w:rsid w:val="00AA205E"/>
    <w:rsid w:val="00AA2CDE"/>
    <w:rsid w:val="00AA59EC"/>
    <w:rsid w:val="00AB31DF"/>
    <w:rsid w:val="00AB4A7D"/>
    <w:rsid w:val="00AB4EA3"/>
    <w:rsid w:val="00AB53F5"/>
    <w:rsid w:val="00AC1A77"/>
    <w:rsid w:val="00AC2126"/>
    <w:rsid w:val="00AC4C42"/>
    <w:rsid w:val="00AC6F92"/>
    <w:rsid w:val="00AD0F54"/>
    <w:rsid w:val="00AD2260"/>
    <w:rsid w:val="00AD4030"/>
    <w:rsid w:val="00AD77D4"/>
    <w:rsid w:val="00AD7F00"/>
    <w:rsid w:val="00AE688E"/>
    <w:rsid w:val="00AF11A0"/>
    <w:rsid w:val="00AF181A"/>
    <w:rsid w:val="00AF3956"/>
    <w:rsid w:val="00AF45B2"/>
    <w:rsid w:val="00AF56BC"/>
    <w:rsid w:val="00AF58D9"/>
    <w:rsid w:val="00AF630A"/>
    <w:rsid w:val="00B0111A"/>
    <w:rsid w:val="00B015E0"/>
    <w:rsid w:val="00B01920"/>
    <w:rsid w:val="00B0358C"/>
    <w:rsid w:val="00B12F36"/>
    <w:rsid w:val="00B14349"/>
    <w:rsid w:val="00B148D8"/>
    <w:rsid w:val="00B15190"/>
    <w:rsid w:val="00B1671B"/>
    <w:rsid w:val="00B17871"/>
    <w:rsid w:val="00B17A79"/>
    <w:rsid w:val="00B2000A"/>
    <w:rsid w:val="00B21F6B"/>
    <w:rsid w:val="00B33D70"/>
    <w:rsid w:val="00B349D9"/>
    <w:rsid w:val="00B36F38"/>
    <w:rsid w:val="00B37480"/>
    <w:rsid w:val="00B40FB9"/>
    <w:rsid w:val="00B43721"/>
    <w:rsid w:val="00B445D8"/>
    <w:rsid w:val="00B45D65"/>
    <w:rsid w:val="00B4673C"/>
    <w:rsid w:val="00B474C1"/>
    <w:rsid w:val="00B54204"/>
    <w:rsid w:val="00B56E40"/>
    <w:rsid w:val="00B70E41"/>
    <w:rsid w:val="00B7336B"/>
    <w:rsid w:val="00B74118"/>
    <w:rsid w:val="00B76F9F"/>
    <w:rsid w:val="00B771EA"/>
    <w:rsid w:val="00B80C0C"/>
    <w:rsid w:val="00B85E19"/>
    <w:rsid w:val="00B9182A"/>
    <w:rsid w:val="00B92530"/>
    <w:rsid w:val="00B96D73"/>
    <w:rsid w:val="00B96FB9"/>
    <w:rsid w:val="00BA22EC"/>
    <w:rsid w:val="00BA53B6"/>
    <w:rsid w:val="00BC21DA"/>
    <w:rsid w:val="00BC6489"/>
    <w:rsid w:val="00BC7CC6"/>
    <w:rsid w:val="00BD0250"/>
    <w:rsid w:val="00BD2776"/>
    <w:rsid w:val="00BD2C1F"/>
    <w:rsid w:val="00BD3E3D"/>
    <w:rsid w:val="00BD6AF4"/>
    <w:rsid w:val="00BD7AFB"/>
    <w:rsid w:val="00BE1AA2"/>
    <w:rsid w:val="00BE39B6"/>
    <w:rsid w:val="00BE4AA0"/>
    <w:rsid w:val="00BE705B"/>
    <w:rsid w:val="00BE7CA9"/>
    <w:rsid w:val="00BF01EE"/>
    <w:rsid w:val="00BF2317"/>
    <w:rsid w:val="00C002A6"/>
    <w:rsid w:val="00C01561"/>
    <w:rsid w:val="00C10A7D"/>
    <w:rsid w:val="00C1315F"/>
    <w:rsid w:val="00C15F15"/>
    <w:rsid w:val="00C16F23"/>
    <w:rsid w:val="00C21F5F"/>
    <w:rsid w:val="00C236A3"/>
    <w:rsid w:val="00C316F8"/>
    <w:rsid w:val="00C33FEB"/>
    <w:rsid w:val="00C34932"/>
    <w:rsid w:val="00C36383"/>
    <w:rsid w:val="00C37A78"/>
    <w:rsid w:val="00C40645"/>
    <w:rsid w:val="00C40D16"/>
    <w:rsid w:val="00C53D05"/>
    <w:rsid w:val="00C55008"/>
    <w:rsid w:val="00C5502E"/>
    <w:rsid w:val="00C5551D"/>
    <w:rsid w:val="00C55E5C"/>
    <w:rsid w:val="00C60D6F"/>
    <w:rsid w:val="00C61102"/>
    <w:rsid w:val="00C66F04"/>
    <w:rsid w:val="00C6725A"/>
    <w:rsid w:val="00C71607"/>
    <w:rsid w:val="00C73DEE"/>
    <w:rsid w:val="00C73FB8"/>
    <w:rsid w:val="00C74C1D"/>
    <w:rsid w:val="00C80B6B"/>
    <w:rsid w:val="00C81159"/>
    <w:rsid w:val="00C83029"/>
    <w:rsid w:val="00C84982"/>
    <w:rsid w:val="00C85539"/>
    <w:rsid w:val="00C87AC8"/>
    <w:rsid w:val="00C90B91"/>
    <w:rsid w:val="00C9363B"/>
    <w:rsid w:val="00C93955"/>
    <w:rsid w:val="00C96606"/>
    <w:rsid w:val="00C9745A"/>
    <w:rsid w:val="00CA06D1"/>
    <w:rsid w:val="00CA1F79"/>
    <w:rsid w:val="00CA49A1"/>
    <w:rsid w:val="00CA7296"/>
    <w:rsid w:val="00CB6CF4"/>
    <w:rsid w:val="00CB79F9"/>
    <w:rsid w:val="00CC26E1"/>
    <w:rsid w:val="00CC41D8"/>
    <w:rsid w:val="00CC5A25"/>
    <w:rsid w:val="00CC6168"/>
    <w:rsid w:val="00CC7289"/>
    <w:rsid w:val="00CC7CF9"/>
    <w:rsid w:val="00CD072D"/>
    <w:rsid w:val="00CD0CAF"/>
    <w:rsid w:val="00CD269C"/>
    <w:rsid w:val="00CD3CBF"/>
    <w:rsid w:val="00CD4946"/>
    <w:rsid w:val="00CD66D0"/>
    <w:rsid w:val="00CD7760"/>
    <w:rsid w:val="00CE06F4"/>
    <w:rsid w:val="00CE1697"/>
    <w:rsid w:val="00CE2FEF"/>
    <w:rsid w:val="00CE339C"/>
    <w:rsid w:val="00CE455A"/>
    <w:rsid w:val="00CE70CB"/>
    <w:rsid w:val="00CF0416"/>
    <w:rsid w:val="00CF16A9"/>
    <w:rsid w:val="00CF5BE7"/>
    <w:rsid w:val="00CF6F4A"/>
    <w:rsid w:val="00D00D80"/>
    <w:rsid w:val="00D01718"/>
    <w:rsid w:val="00D02706"/>
    <w:rsid w:val="00D0283F"/>
    <w:rsid w:val="00D028EE"/>
    <w:rsid w:val="00D04057"/>
    <w:rsid w:val="00D1018E"/>
    <w:rsid w:val="00D11F97"/>
    <w:rsid w:val="00D124A4"/>
    <w:rsid w:val="00D15873"/>
    <w:rsid w:val="00D2065A"/>
    <w:rsid w:val="00D2159C"/>
    <w:rsid w:val="00D21AC5"/>
    <w:rsid w:val="00D236B9"/>
    <w:rsid w:val="00D26B65"/>
    <w:rsid w:val="00D324E5"/>
    <w:rsid w:val="00D35889"/>
    <w:rsid w:val="00D37E6E"/>
    <w:rsid w:val="00D40DAF"/>
    <w:rsid w:val="00D414CA"/>
    <w:rsid w:val="00D42378"/>
    <w:rsid w:val="00D43330"/>
    <w:rsid w:val="00D43F09"/>
    <w:rsid w:val="00D44A0D"/>
    <w:rsid w:val="00D47203"/>
    <w:rsid w:val="00D50C07"/>
    <w:rsid w:val="00D50FA5"/>
    <w:rsid w:val="00D538E0"/>
    <w:rsid w:val="00D546EA"/>
    <w:rsid w:val="00D651A2"/>
    <w:rsid w:val="00D66174"/>
    <w:rsid w:val="00D73A0B"/>
    <w:rsid w:val="00D76699"/>
    <w:rsid w:val="00D774E4"/>
    <w:rsid w:val="00D83483"/>
    <w:rsid w:val="00D86500"/>
    <w:rsid w:val="00D933F2"/>
    <w:rsid w:val="00D9499F"/>
    <w:rsid w:val="00DA0844"/>
    <w:rsid w:val="00DA0D30"/>
    <w:rsid w:val="00DA5CFD"/>
    <w:rsid w:val="00DA661C"/>
    <w:rsid w:val="00DB048A"/>
    <w:rsid w:val="00DB2B18"/>
    <w:rsid w:val="00DB2E1B"/>
    <w:rsid w:val="00DC03C1"/>
    <w:rsid w:val="00DC11B6"/>
    <w:rsid w:val="00DC14A3"/>
    <w:rsid w:val="00DC2AEE"/>
    <w:rsid w:val="00DC48DC"/>
    <w:rsid w:val="00DC684D"/>
    <w:rsid w:val="00DD08A5"/>
    <w:rsid w:val="00DD29AA"/>
    <w:rsid w:val="00DD3719"/>
    <w:rsid w:val="00DD4A21"/>
    <w:rsid w:val="00DD6561"/>
    <w:rsid w:val="00DD6F53"/>
    <w:rsid w:val="00DE2F90"/>
    <w:rsid w:val="00DE307B"/>
    <w:rsid w:val="00DE3529"/>
    <w:rsid w:val="00DE5AAD"/>
    <w:rsid w:val="00DE7CD3"/>
    <w:rsid w:val="00DF51E7"/>
    <w:rsid w:val="00DF5C98"/>
    <w:rsid w:val="00DF5CB4"/>
    <w:rsid w:val="00DF6476"/>
    <w:rsid w:val="00DF6524"/>
    <w:rsid w:val="00DF6CDC"/>
    <w:rsid w:val="00E00F7D"/>
    <w:rsid w:val="00E03222"/>
    <w:rsid w:val="00E03777"/>
    <w:rsid w:val="00E03C6A"/>
    <w:rsid w:val="00E05BFD"/>
    <w:rsid w:val="00E0667F"/>
    <w:rsid w:val="00E069A3"/>
    <w:rsid w:val="00E203A8"/>
    <w:rsid w:val="00E20AA7"/>
    <w:rsid w:val="00E3185B"/>
    <w:rsid w:val="00E32ED9"/>
    <w:rsid w:val="00E330B0"/>
    <w:rsid w:val="00E34ACD"/>
    <w:rsid w:val="00E3633D"/>
    <w:rsid w:val="00E36BAC"/>
    <w:rsid w:val="00E42CF5"/>
    <w:rsid w:val="00E45EC9"/>
    <w:rsid w:val="00E46317"/>
    <w:rsid w:val="00E472BC"/>
    <w:rsid w:val="00E47EBD"/>
    <w:rsid w:val="00E5740A"/>
    <w:rsid w:val="00E57C7D"/>
    <w:rsid w:val="00E6004C"/>
    <w:rsid w:val="00E61053"/>
    <w:rsid w:val="00E61C2F"/>
    <w:rsid w:val="00E67312"/>
    <w:rsid w:val="00E7012D"/>
    <w:rsid w:val="00E70665"/>
    <w:rsid w:val="00E73A7A"/>
    <w:rsid w:val="00E740EA"/>
    <w:rsid w:val="00E7481A"/>
    <w:rsid w:val="00E74F1F"/>
    <w:rsid w:val="00E75F5E"/>
    <w:rsid w:val="00E767AF"/>
    <w:rsid w:val="00E83727"/>
    <w:rsid w:val="00E86DDC"/>
    <w:rsid w:val="00E87712"/>
    <w:rsid w:val="00E923D4"/>
    <w:rsid w:val="00EA1341"/>
    <w:rsid w:val="00EA441D"/>
    <w:rsid w:val="00EA4ABA"/>
    <w:rsid w:val="00EA79E5"/>
    <w:rsid w:val="00EA7A54"/>
    <w:rsid w:val="00EB1D54"/>
    <w:rsid w:val="00EB245C"/>
    <w:rsid w:val="00EB4B73"/>
    <w:rsid w:val="00EB4D3A"/>
    <w:rsid w:val="00EC6D5B"/>
    <w:rsid w:val="00ED3D0A"/>
    <w:rsid w:val="00ED472C"/>
    <w:rsid w:val="00ED7F6B"/>
    <w:rsid w:val="00EE3C45"/>
    <w:rsid w:val="00EE782F"/>
    <w:rsid w:val="00EF040A"/>
    <w:rsid w:val="00EF411E"/>
    <w:rsid w:val="00EF5F13"/>
    <w:rsid w:val="00F03722"/>
    <w:rsid w:val="00F03744"/>
    <w:rsid w:val="00F05048"/>
    <w:rsid w:val="00F06987"/>
    <w:rsid w:val="00F07027"/>
    <w:rsid w:val="00F07E7D"/>
    <w:rsid w:val="00F10663"/>
    <w:rsid w:val="00F1358C"/>
    <w:rsid w:val="00F1428C"/>
    <w:rsid w:val="00F15245"/>
    <w:rsid w:val="00F16F9B"/>
    <w:rsid w:val="00F20767"/>
    <w:rsid w:val="00F266E6"/>
    <w:rsid w:val="00F27BED"/>
    <w:rsid w:val="00F31FEF"/>
    <w:rsid w:val="00F334F1"/>
    <w:rsid w:val="00F35B45"/>
    <w:rsid w:val="00F3797B"/>
    <w:rsid w:val="00F43EAC"/>
    <w:rsid w:val="00F44F68"/>
    <w:rsid w:val="00F450FE"/>
    <w:rsid w:val="00F47201"/>
    <w:rsid w:val="00F513DE"/>
    <w:rsid w:val="00F6167A"/>
    <w:rsid w:val="00F66EAB"/>
    <w:rsid w:val="00F67CA0"/>
    <w:rsid w:val="00F7106B"/>
    <w:rsid w:val="00F71659"/>
    <w:rsid w:val="00F719DE"/>
    <w:rsid w:val="00F72E92"/>
    <w:rsid w:val="00F75B27"/>
    <w:rsid w:val="00F764B2"/>
    <w:rsid w:val="00F76A3A"/>
    <w:rsid w:val="00F76E43"/>
    <w:rsid w:val="00F76E9F"/>
    <w:rsid w:val="00F81F22"/>
    <w:rsid w:val="00F859F4"/>
    <w:rsid w:val="00F87E02"/>
    <w:rsid w:val="00F903E2"/>
    <w:rsid w:val="00F94C2A"/>
    <w:rsid w:val="00F94FF3"/>
    <w:rsid w:val="00F96118"/>
    <w:rsid w:val="00FA3608"/>
    <w:rsid w:val="00FA5111"/>
    <w:rsid w:val="00FA539E"/>
    <w:rsid w:val="00FB024E"/>
    <w:rsid w:val="00FB2CEF"/>
    <w:rsid w:val="00FB389F"/>
    <w:rsid w:val="00FB760C"/>
    <w:rsid w:val="00FC01CA"/>
    <w:rsid w:val="00FC03FA"/>
    <w:rsid w:val="00FC29EF"/>
    <w:rsid w:val="00FC49B2"/>
    <w:rsid w:val="00FC591C"/>
    <w:rsid w:val="00FC5BAA"/>
    <w:rsid w:val="00FC5ECC"/>
    <w:rsid w:val="00FC61BF"/>
    <w:rsid w:val="00FC661B"/>
    <w:rsid w:val="00FC7516"/>
    <w:rsid w:val="00FD2983"/>
    <w:rsid w:val="00FD48BC"/>
    <w:rsid w:val="00FD7170"/>
    <w:rsid w:val="00FE0E43"/>
    <w:rsid w:val="00FE3418"/>
    <w:rsid w:val="00FF2BF5"/>
    <w:rsid w:val="00FF328D"/>
    <w:rsid w:val="00FF682D"/>
    <w:rsid w:val="0843B3CC"/>
    <w:rsid w:val="08E07448"/>
    <w:rsid w:val="0A48D4D2"/>
    <w:rsid w:val="0CE0BD81"/>
    <w:rsid w:val="106F9963"/>
    <w:rsid w:val="147AFF9F"/>
    <w:rsid w:val="1646ABD6"/>
    <w:rsid w:val="170341D6"/>
    <w:rsid w:val="1777BF30"/>
    <w:rsid w:val="1E9BF552"/>
    <w:rsid w:val="21C24DEC"/>
    <w:rsid w:val="222109FB"/>
    <w:rsid w:val="2350BCF6"/>
    <w:rsid w:val="25C6B185"/>
    <w:rsid w:val="2A8E188A"/>
    <w:rsid w:val="2BAE1BE1"/>
    <w:rsid w:val="3363CDB7"/>
    <w:rsid w:val="36CE65E1"/>
    <w:rsid w:val="390CB645"/>
    <w:rsid w:val="4D3086BA"/>
    <w:rsid w:val="4E0ADCDF"/>
    <w:rsid w:val="51F04B36"/>
    <w:rsid w:val="54258D00"/>
    <w:rsid w:val="55531CB9"/>
    <w:rsid w:val="5DFDD15A"/>
    <w:rsid w:val="67C09ACE"/>
    <w:rsid w:val="6A63BCDD"/>
    <w:rsid w:val="6B0D4172"/>
    <w:rsid w:val="6FC72643"/>
    <w:rsid w:val="6FFCC252"/>
    <w:rsid w:val="707D3282"/>
    <w:rsid w:val="71E35AF8"/>
    <w:rsid w:val="72545DEA"/>
    <w:rsid w:val="734A00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DEBF9"/>
  <w15:chartTrackingRefBased/>
  <w15:docId w15:val="{B1D95CDF-6402-A64E-8A4E-AEF21B920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E33"/>
    <w:pPr>
      <w:spacing w:after="0" w:line="240" w:lineRule="auto"/>
    </w:pPr>
    <w:rPr>
      <w:rFonts w:ascii="Times New Roman" w:eastAsia="Times New Roman" w:hAnsi="Times New Roman" w:cs="Times New Roman"/>
      <w:kern w:val="0"/>
      <w:sz w:val="24"/>
      <w:szCs w:val="24"/>
      <w:lang w:val="es-CO" w:eastAsia="es-MX"/>
      <w14:ligatures w14:val="none"/>
    </w:rPr>
  </w:style>
  <w:style w:type="paragraph" w:styleId="Ttulo1">
    <w:name w:val="heading 1"/>
    <w:basedOn w:val="Normal"/>
    <w:next w:val="Normal"/>
    <w:link w:val="Ttulo1Car"/>
    <w:uiPriority w:val="9"/>
    <w:qFormat/>
    <w:rsid w:val="00923BDC"/>
    <w:pPr>
      <w:keepNext/>
      <w:numPr>
        <w:numId w:val="1"/>
      </w:numPr>
      <w:spacing w:before="240" w:after="60"/>
      <w:outlineLvl w:val="0"/>
    </w:pPr>
    <w:rPr>
      <w:rFonts w:asciiTheme="majorHAnsi" w:eastAsiaTheme="majorEastAsia" w:hAnsiTheme="majorHAnsi" w:cstheme="majorBidi"/>
      <w:b/>
      <w:bCs/>
      <w:sz w:val="32"/>
      <w:szCs w:val="32"/>
    </w:rPr>
  </w:style>
  <w:style w:type="paragraph" w:styleId="Ttulo2">
    <w:name w:val="heading 2"/>
    <w:basedOn w:val="Normal"/>
    <w:next w:val="Normal"/>
    <w:link w:val="Ttulo2Car"/>
    <w:uiPriority w:val="9"/>
    <w:semiHidden/>
    <w:unhideWhenUsed/>
    <w:qFormat/>
    <w:rsid w:val="00923BDC"/>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923BDC"/>
    <w:pPr>
      <w:keepNext/>
      <w:numPr>
        <w:ilvl w:val="2"/>
        <w:numId w:val="1"/>
      </w:numPr>
      <w:tabs>
        <w:tab w:val="clear" w:pos="2160"/>
        <w:tab w:val="num" w:pos="360"/>
      </w:tabs>
      <w:spacing w:before="240" w:after="60"/>
      <w:ind w:left="0" w:firstLine="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923BDC"/>
    <w:pPr>
      <w:keepNext/>
      <w:numPr>
        <w:ilvl w:val="3"/>
        <w:numId w:val="1"/>
      </w:numPr>
      <w:tabs>
        <w:tab w:val="clear" w:pos="2880"/>
        <w:tab w:val="num" w:pos="360"/>
      </w:tabs>
      <w:spacing w:before="240" w:after="60"/>
      <w:ind w:left="0" w:firstLine="0"/>
      <w:outlineLvl w:val="3"/>
    </w:pPr>
    <w:rPr>
      <w:rFonts w:eastAsiaTheme="minorEastAsia"/>
      <w:b/>
      <w:bCs/>
      <w:sz w:val="28"/>
      <w:szCs w:val="28"/>
    </w:rPr>
  </w:style>
  <w:style w:type="paragraph" w:styleId="Ttulo5">
    <w:name w:val="heading 5"/>
    <w:basedOn w:val="Normal"/>
    <w:next w:val="Normal"/>
    <w:link w:val="Ttulo5Car"/>
    <w:uiPriority w:val="9"/>
    <w:semiHidden/>
    <w:unhideWhenUsed/>
    <w:qFormat/>
    <w:rsid w:val="00923BDC"/>
    <w:pPr>
      <w:numPr>
        <w:ilvl w:val="4"/>
        <w:numId w:val="1"/>
      </w:numPr>
      <w:tabs>
        <w:tab w:val="clear" w:pos="3600"/>
        <w:tab w:val="num" w:pos="360"/>
      </w:tabs>
      <w:spacing w:before="240" w:after="60"/>
      <w:ind w:left="0" w:firstLine="0"/>
      <w:outlineLvl w:val="4"/>
    </w:pPr>
    <w:rPr>
      <w:rFonts w:eastAsiaTheme="minorEastAsia"/>
      <w:b/>
      <w:bCs/>
      <w:i/>
      <w:iCs/>
      <w:sz w:val="26"/>
      <w:szCs w:val="26"/>
    </w:rPr>
  </w:style>
  <w:style w:type="paragraph" w:styleId="Ttulo6">
    <w:name w:val="heading 6"/>
    <w:basedOn w:val="Normal"/>
    <w:next w:val="Normal"/>
    <w:link w:val="Ttulo6Car"/>
    <w:uiPriority w:val="9"/>
    <w:qFormat/>
    <w:rsid w:val="00923BDC"/>
    <w:pPr>
      <w:numPr>
        <w:ilvl w:val="5"/>
        <w:numId w:val="1"/>
      </w:numPr>
      <w:spacing w:before="240" w:after="60"/>
      <w:outlineLvl w:val="5"/>
    </w:pPr>
    <w:rPr>
      <w:b/>
      <w:bCs/>
    </w:rPr>
  </w:style>
  <w:style w:type="paragraph" w:styleId="Ttulo7">
    <w:name w:val="heading 7"/>
    <w:basedOn w:val="Normal"/>
    <w:next w:val="Normal"/>
    <w:link w:val="Ttulo7Car"/>
    <w:uiPriority w:val="9"/>
    <w:semiHidden/>
    <w:unhideWhenUsed/>
    <w:qFormat/>
    <w:rsid w:val="00923BDC"/>
    <w:pPr>
      <w:numPr>
        <w:ilvl w:val="6"/>
        <w:numId w:val="1"/>
      </w:numPr>
      <w:spacing w:before="240" w:after="60"/>
      <w:outlineLvl w:val="6"/>
    </w:pPr>
    <w:rPr>
      <w:rFonts w:eastAsiaTheme="minorEastAsia"/>
    </w:rPr>
  </w:style>
  <w:style w:type="paragraph" w:styleId="Ttulo8">
    <w:name w:val="heading 8"/>
    <w:basedOn w:val="Normal"/>
    <w:next w:val="Normal"/>
    <w:link w:val="Ttulo8Car"/>
    <w:uiPriority w:val="9"/>
    <w:semiHidden/>
    <w:unhideWhenUsed/>
    <w:qFormat/>
    <w:rsid w:val="00923BDC"/>
    <w:pPr>
      <w:numPr>
        <w:ilvl w:val="7"/>
        <w:numId w:val="1"/>
      </w:numPr>
      <w:tabs>
        <w:tab w:val="clear" w:pos="5760"/>
        <w:tab w:val="num" w:pos="360"/>
      </w:tabs>
      <w:spacing w:before="240" w:after="60"/>
      <w:ind w:left="0" w:firstLine="0"/>
      <w:outlineLvl w:val="7"/>
    </w:pPr>
    <w:rPr>
      <w:rFonts w:eastAsiaTheme="minorEastAsia"/>
      <w:i/>
      <w:iCs/>
    </w:rPr>
  </w:style>
  <w:style w:type="paragraph" w:styleId="Ttulo9">
    <w:name w:val="heading 9"/>
    <w:basedOn w:val="Normal"/>
    <w:next w:val="Normal"/>
    <w:link w:val="Ttulo9Car"/>
    <w:uiPriority w:val="9"/>
    <w:semiHidden/>
    <w:unhideWhenUsed/>
    <w:qFormat/>
    <w:rsid w:val="00923BDC"/>
    <w:pPr>
      <w:numPr>
        <w:ilvl w:val="8"/>
        <w:numId w:val="1"/>
      </w:numPr>
      <w:tabs>
        <w:tab w:val="clear" w:pos="6480"/>
        <w:tab w:val="num" w:pos="360"/>
      </w:tabs>
      <w:spacing w:before="240" w:after="60"/>
      <w:ind w:left="0" w:firstLine="0"/>
      <w:outlineLvl w:val="8"/>
    </w:pPr>
    <w:rPr>
      <w:rFonts w:asciiTheme="majorHAnsi" w:eastAsiaTheme="majorEastAsia" w:hAnsiTheme="majorHAnsi"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923BDC"/>
    <w:pPr>
      <w:spacing w:before="100" w:beforeAutospacing="1" w:after="100" w:afterAutospacing="1"/>
    </w:pPr>
  </w:style>
  <w:style w:type="character" w:styleId="Hipervnculo">
    <w:name w:val="Hyperlink"/>
    <w:basedOn w:val="Fuentedeprrafopredeter"/>
    <w:uiPriority w:val="99"/>
    <w:unhideWhenUsed/>
    <w:rsid w:val="00923BDC"/>
    <w:rPr>
      <w:color w:val="0000FF"/>
      <w:u w:val="single"/>
    </w:rPr>
  </w:style>
  <w:style w:type="character" w:customStyle="1" w:styleId="Ttulo1Car">
    <w:name w:val="Título 1 Car"/>
    <w:basedOn w:val="Fuentedeprrafopredeter"/>
    <w:link w:val="Ttulo1"/>
    <w:uiPriority w:val="9"/>
    <w:rsid w:val="00923BDC"/>
    <w:rPr>
      <w:rFonts w:asciiTheme="majorHAnsi" w:eastAsiaTheme="majorEastAsia" w:hAnsiTheme="majorHAnsi" w:cstheme="majorBidi"/>
      <w:b/>
      <w:bCs/>
      <w:sz w:val="32"/>
      <w:szCs w:val="32"/>
      <w:lang w:val="es-CO"/>
    </w:rPr>
  </w:style>
  <w:style w:type="character" w:customStyle="1" w:styleId="Ttulo2Car">
    <w:name w:val="Título 2 Car"/>
    <w:basedOn w:val="Fuentedeprrafopredeter"/>
    <w:link w:val="Ttulo2"/>
    <w:uiPriority w:val="9"/>
    <w:semiHidden/>
    <w:rsid w:val="00923BDC"/>
    <w:rPr>
      <w:rFonts w:asciiTheme="majorHAnsi" w:eastAsiaTheme="majorEastAsia" w:hAnsiTheme="majorHAnsi" w:cstheme="majorBidi"/>
      <w:b/>
      <w:bCs/>
      <w:i/>
      <w:iCs/>
      <w:sz w:val="28"/>
      <w:szCs w:val="28"/>
      <w:lang w:val="es-CO"/>
    </w:rPr>
  </w:style>
  <w:style w:type="character" w:customStyle="1" w:styleId="Ttulo3Car">
    <w:name w:val="Título 3 Car"/>
    <w:basedOn w:val="Fuentedeprrafopredeter"/>
    <w:link w:val="Ttulo3"/>
    <w:uiPriority w:val="9"/>
    <w:semiHidden/>
    <w:rsid w:val="00923BDC"/>
    <w:rPr>
      <w:rFonts w:asciiTheme="majorHAnsi" w:eastAsiaTheme="majorEastAsia" w:hAnsiTheme="majorHAnsi" w:cstheme="majorBidi"/>
      <w:b/>
      <w:bCs/>
      <w:sz w:val="26"/>
      <w:szCs w:val="26"/>
      <w:lang w:val="es-CO"/>
    </w:rPr>
  </w:style>
  <w:style w:type="character" w:customStyle="1" w:styleId="Ttulo4Car">
    <w:name w:val="Título 4 Car"/>
    <w:basedOn w:val="Fuentedeprrafopredeter"/>
    <w:link w:val="Ttulo4"/>
    <w:uiPriority w:val="9"/>
    <w:semiHidden/>
    <w:rsid w:val="00923BDC"/>
    <w:rPr>
      <w:rFonts w:eastAsiaTheme="minorEastAsia"/>
      <w:b/>
      <w:bCs/>
      <w:sz w:val="28"/>
      <w:szCs w:val="28"/>
      <w:lang w:val="es-CO"/>
    </w:rPr>
  </w:style>
  <w:style w:type="character" w:customStyle="1" w:styleId="Ttulo5Car">
    <w:name w:val="Título 5 Car"/>
    <w:basedOn w:val="Fuentedeprrafopredeter"/>
    <w:link w:val="Ttulo5"/>
    <w:uiPriority w:val="9"/>
    <w:semiHidden/>
    <w:rsid w:val="00923BDC"/>
    <w:rPr>
      <w:rFonts w:eastAsiaTheme="minorEastAsia"/>
      <w:b/>
      <w:bCs/>
      <w:i/>
      <w:iCs/>
      <w:sz w:val="26"/>
      <w:szCs w:val="26"/>
      <w:lang w:val="es-CO"/>
    </w:rPr>
  </w:style>
  <w:style w:type="character" w:customStyle="1" w:styleId="Ttulo6Car">
    <w:name w:val="Título 6 Car"/>
    <w:basedOn w:val="Fuentedeprrafopredeter"/>
    <w:link w:val="Ttulo6"/>
    <w:uiPriority w:val="9"/>
    <w:rsid w:val="00923BDC"/>
    <w:rPr>
      <w:rFonts w:ascii="Times New Roman" w:eastAsia="Times New Roman" w:hAnsi="Times New Roman" w:cs="Times New Roman"/>
      <w:b/>
      <w:bCs/>
      <w:lang w:val="es-CO"/>
    </w:rPr>
  </w:style>
  <w:style w:type="character" w:customStyle="1" w:styleId="Ttulo7Car">
    <w:name w:val="Título 7 Car"/>
    <w:basedOn w:val="Fuentedeprrafopredeter"/>
    <w:link w:val="Ttulo7"/>
    <w:uiPriority w:val="9"/>
    <w:semiHidden/>
    <w:rsid w:val="00923BDC"/>
    <w:rPr>
      <w:rFonts w:eastAsiaTheme="minorEastAsia"/>
      <w:sz w:val="24"/>
      <w:szCs w:val="24"/>
      <w:lang w:val="es-CO"/>
    </w:rPr>
  </w:style>
  <w:style w:type="character" w:customStyle="1" w:styleId="Ttulo8Car">
    <w:name w:val="Título 8 Car"/>
    <w:basedOn w:val="Fuentedeprrafopredeter"/>
    <w:link w:val="Ttulo8"/>
    <w:uiPriority w:val="9"/>
    <w:semiHidden/>
    <w:rsid w:val="00923BDC"/>
    <w:rPr>
      <w:rFonts w:eastAsiaTheme="minorEastAsia"/>
      <w:i/>
      <w:iCs/>
      <w:sz w:val="24"/>
      <w:szCs w:val="24"/>
      <w:lang w:val="es-CO"/>
    </w:rPr>
  </w:style>
  <w:style w:type="character" w:customStyle="1" w:styleId="Ttulo9Car">
    <w:name w:val="Título 9 Car"/>
    <w:basedOn w:val="Fuentedeprrafopredeter"/>
    <w:link w:val="Ttulo9"/>
    <w:uiPriority w:val="9"/>
    <w:semiHidden/>
    <w:rsid w:val="00923BDC"/>
    <w:rPr>
      <w:rFonts w:asciiTheme="majorHAnsi" w:eastAsiaTheme="majorEastAsia" w:hAnsiTheme="majorHAnsi" w:cstheme="majorBidi"/>
      <w:lang w:val="es-CO"/>
    </w:rPr>
  </w:style>
  <w:style w:type="character" w:styleId="Mencinsinresolver">
    <w:name w:val="Unresolved Mention"/>
    <w:basedOn w:val="Fuentedeprrafopredeter"/>
    <w:uiPriority w:val="99"/>
    <w:semiHidden/>
    <w:unhideWhenUsed/>
    <w:rsid w:val="00923BDC"/>
    <w:rPr>
      <w:color w:val="605E5C"/>
      <w:shd w:val="clear" w:color="auto" w:fill="E1DFDD"/>
    </w:rPr>
  </w:style>
  <w:style w:type="character" w:styleId="Hipervnculovisitado">
    <w:name w:val="FollowedHyperlink"/>
    <w:basedOn w:val="Fuentedeprrafopredeter"/>
    <w:uiPriority w:val="99"/>
    <w:semiHidden/>
    <w:unhideWhenUsed/>
    <w:rsid w:val="00923BDC"/>
    <w:rPr>
      <w:color w:val="96607D" w:themeColor="followedHyperlink"/>
      <w:u w:val="single"/>
    </w:rPr>
  </w:style>
  <w:style w:type="paragraph" w:styleId="Encabezado">
    <w:name w:val="header"/>
    <w:basedOn w:val="Normal"/>
    <w:link w:val="EncabezadoCar"/>
    <w:uiPriority w:val="99"/>
    <w:unhideWhenUsed/>
    <w:rsid w:val="00923BDC"/>
    <w:pPr>
      <w:tabs>
        <w:tab w:val="center" w:pos="4680"/>
        <w:tab w:val="right" w:pos="9360"/>
      </w:tabs>
    </w:pPr>
  </w:style>
  <w:style w:type="character" w:customStyle="1" w:styleId="EncabezadoCar">
    <w:name w:val="Encabezado Car"/>
    <w:basedOn w:val="Fuentedeprrafopredeter"/>
    <w:link w:val="Encabezado"/>
    <w:uiPriority w:val="99"/>
    <w:rsid w:val="00923BDC"/>
    <w:rPr>
      <w:lang w:val="es-CO"/>
    </w:rPr>
  </w:style>
  <w:style w:type="paragraph" w:styleId="Piedepgina">
    <w:name w:val="footer"/>
    <w:basedOn w:val="Normal"/>
    <w:link w:val="PiedepginaCar"/>
    <w:uiPriority w:val="99"/>
    <w:unhideWhenUsed/>
    <w:rsid w:val="00923BDC"/>
    <w:pPr>
      <w:tabs>
        <w:tab w:val="center" w:pos="4680"/>
        <w:tab w:val="right" w:pos="9360"/>
      </w:tabs>
    </w:pPr>
  </w:style>
  <w:style w:type="character" w:customStyle="1" w:styleId="PiedepginaCar">
    <w:name w:val="Pie de página Car"/>
    <w:basedOn w:val="Fuentedeprrafopredeter"/>
    <w:link w:val="Piedepgina"/>
    <w:uiPriority w:val="99"/>
    <w:rsid w:val="00923BDC"/>
    <w:rPr>
      <w:lang w:val="es-CO"/>
    </w:rPr>
  </w:style>
  <w:style w:type="paragraph" w:styleId="Saludo">
    <w:name w:val="Salutation"/>
    <w:basedOn w:val="Normal"/>
    <w:next w:val="Normal"/>
    <w:link w:val="SaludoCar"/>
    <w:uiPriority w:val="99"/>
    <w:unhideWhenUsed/>
    <w:rsid w:val="00923BDC"/>
  </w:style>
  <w:style w:type="character" w:customStyle="1" w:styleId="SaludoCar">
    <w:name w:val="Saludo Car"/>
    <w:basedOn w:val="Fuentedeprrafopredeter"/>
    <w:link w:val="Saludo"/>
    <w:uiPriority w:val="99"/>
    <w:rsid w:val="00923BDC"/>
    <w:rPr>
      <w:lang w:val="es-CO"/>
    </w:rPr>
  </w:style>
  <w:style w:type="paragraph" w:styleId="Descripcin">
    <w:name w:val="caption"/>
    <w:basedOn w:val="Normal"/>
    <w:next w:val="Normal"/>
    <w:uiPriority w:val="35"/>
    <w:unhideWhenUsed/>
    <w:qFormat/>
    <w:rsid w:val="00923BDC"/>
    <w:pPr>
      <w:spacing w:after="200"/>
    </w:pPr>
    <w:rPr>
      <w:i/>
      <w:iCs/>
      <w:color w:val="0E2841" w:themeColor="text2"/>
      <w:sz w:val="18"/>
      <w:szCs w:val="18"/>
    </w:rPr>
  </w:style>
  <w:style w:type="paragraph" w:styleId="Textoindependiente">
    <w:name w:val="Body Text"/>
    <w:basedOn w:val="Normal"/>
    <w:link w:val="TextoindependienteCar"/>
    <w:uiPriority w:val="99"/>
    <w:unhideWhenUsed/>
    <w:rsid w:val="00923BDC"/>
    <w:pPr>
      <w:spacing w:after="120"/>
    </w:pPr>
  </w:style>
  <w:style w:type="character" w:customStyle="1" w:styleId="TextoindependienteCar">
    <w:name w:val="Texto independiente Car"/>
    <w:basedOn w:val="Fuentedeprrafopredeter"/>
    <w:link w:val="Textoindependiente"/>
    <w:uiPriority w:val="99"/>
    <w:rsid w:val="00923BDC"/>
    <w:rPr>
      <w:lang w:val="es-CO"/>
    </w:rPr>
  </w:style>
  <w:style w:type="paragraph" w:styleId="Ttulo">
    <w:name w:val="Title"/>
    <w:basedOn w:val="Normal"/>
    <w:next w:val="Normal"/>
    <w:link w:val="TtuloCar"/>
    <w:uiPriority w:val="10"/>
    <w:qFormat/>
    <w:rsid w:val="00923BD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3B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3BDC"/>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3B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3BDC"/>
    <w:pPr>
      <w:spacing w:before="160"/>
      <w:jc w:val="center"/>
    </w:pPr>
    <w:rPr>
      <w:i/>
      <w:iCs/>
      <w:color w:val="404040" w:themeColor="text1" w:themeTint="BF"/>
    </w:rPr>
  </w:style>
  <w:style w:type="character" w:customStyle="1" w:styleId="CitaCar">
    <w:name w:val="Cita Car"/>
    <w:basedOn w:val="Fuentedeprrafopredeter"/>
    <w:link w:val="Cita"/>
    <w:uiPriority w:val="29"/>
    <w:rsid w:val="00923BDC"/>
    <w:rPr>
      <w:i/>
      <w:iCs/>
      <w:color w:val="404040" w:themeColor="text1" w:themeTint="BF"/>
    </w:rPr>
  </w:style>
  <w:style w:type="paragraph" w:styleId="Prrafodelista">
    <w:name w:val="List Paragraph"/>
    <w:basedOn w:val="Normal"/>
    <w:uiPriority w:val="34"/>
    <w:qFormat/>
    <w:rsid w:val="00923BDC"/>
    <w:pPr>
      <w:ind w:left="720"/>
      <w:contextualSpacing/>
    </w:pPr>
  </w:style>
  <w:style w:type="character" w:styleId="nfasisintenso">
    <w:name w:val="Intense Emphasis"/>
    <w:basedOn w:val="Fuentedeprrafopredeter"/>
    <w:uiPriority w:val="21"/>
    <w:qFormat/>
    <w:rsid w:val="00923BDC"/>
    <w:rPr>
      <w:i/>
      <w:iCs/>
      <w:color w:val="C21717" w:themeColor="accent1" w:themeShade="BF"/>
    </w:rPr>
  </w:style>
  <w:style w:type="paragraph" w:styleId="Citadestacada">
    <w:name w:val="Intense Quote"/>
    <w:basedOn w:val="Normal"/>
    <w:next w:val="Normal"/>
    <w:link w:val="CitadestacadaCar"/>
    <w:uiPriority w:val="30"/>
    <w:qFormat/>
    <w:rsid w:val="00923BDC"/>
    <w:pPr>
      <w:pBdr>
        <w:top w:val="single" w:sz="4" w:space="10" w:color="C21717" w:themeColor="accent1" w:themeShade="BF"/>
        <w:bottom w:val="single" w:sz="4" w:space="10" w:color="C21717" w:themeColor="accent1" w:themeShade="BF"/>
      </w:pBdr>
      <w:spacing w:before="360" w:after="360"/>
      <w:ind w:left="864" w:right="864"/>
      <w:jc w:val="center"/>
    </w:pPr>
    <w:rPr>
      <w:i/>
      <w:iCs/>
      <w:color w:val="C21717" w:themeColor="accent1" w:themeShade="BF"/>
    </w:rPr>
  </w:style>
  <w:style w:type="character" w:customStyle="1" w:styleId="CitadestacadaCar">
    <w:name w:val="Cita destacada Car"/>
    <w:basedOn w:val="Fuentedeprrafopredeter"/>
    <w:link w:val="Citadestacada"/>
    <w:uiPriority w:val="30"/>
    <w:rsid w:val="00923BDC"/>
    <w:rPr>
      <w:i/>
      <w:iCs/>
      <w:color w:val="C21717" w:themeColor="accent1" w:themeShade="BF"/>
    </w:rPr>
  </w:style>
  <w:style w:type="character" w:styleId="Referenciaintensa">
    <w:name w:val="Intense Reference"/>
    <w:basedOn w:val="Fuentedeprrafopredeter"/>
    <w:uiPriority w:val="32"/>
    <w:qFormat/>
    <w:rsid w:val="00923BDC"/>
    <w:rPr>
      <w:b/>
      <w:bCs/>
      <w:smallCaps/>
      <w:color w:val="C21717" w:themeColor="accent1" w:themeShade="BF"/>
      <w:spacing w:val="5"/>
    </w:rPr>
  </w:style>
  <w:style w:type="paragraph" w:styleId="Textonotapie">
    <w:name w:val="footnote text"/>
    <w:basedOn w:val="Normal"/>
    <w:link w:val="TextonotapieCar"/>
    <w:uiPriority w:val="99"/>
    <w:semiHidden/>
    <w:unhideWhenUsed/>
    <w:rsid w:val="00922E47"/>
    <w:rPr>
      <w:sz w:val="20"/>
      <w:szCs w:val="20"/>
    </w:rPr>
  </w:style>
  <w:style w:type="character" w:customStyle="1" w:styleId="TextonotapieCar">
    <w:name w:val="Texto nota pie Car"/>
    <w:basedOn w:val="Fuentedeprrafopredeter"/>
    <w:link w:val="Textonotapie"/>
    <w:uiPriority w:val="99"/>
    <w:semiHidden/>
    <w:rsid w:val="00922E47"/>
    <w:rPr>
      <w:sz w:val="20"/>
      <w:szCs w:val="20"/>
    </w:rPr>
  </w:style>
  <w:style w:type="character" w:styleId="Refdenotaalpie">
    <w:name w:val="footnote reference"/>
    <w:basedOn w:val="Fuentedeprrafopredeter"/>
    <w:uiPriority w:val="99"/>
    <w:semiHidden/>
    <w:unhideWhenUsed/>
    <w:rsid w:val="00922E47"/>
    <w:rPr>
      <w:vertAlign w:val="superscript"/>
    </w:rPr>
  </w:style>
  <w:style w:type="table" w:styleId="Tablaconcuadrcula">
    <w:name w:val="Table Grid"/>
    <w:basedOn w:val="Tablanormal"/>
    <w:uiPriority w:val="39"/>
    <w:rsid w:val="00371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F6476"/>
    <w:pPr>
      <w:spacing w:after="0" w:line="240" w:lineRule="auto"/>
    </w:pPr>
  </w:style>
  <w:style w:type="character" w:styleId="Fuerte">
    <w:name w:val="Strong"/>
    <w:basedOn w:val="Fuentedeprrafopredeter"/>
    <w:uiPriority w:val="22"/>
    <w:qFormat/>
    <w:rsid w:val="00823081"/>
    <w:rPr>
      <w:b/>
      <w:bCs/>
    </w:rPr>
  </w:style>
  <w:style w:type="paragraph" w:styleId="Textonotaalfinal">
    <w:name w:val="endnote text"/>
    <w:basedOn w:val="Normal"/>
    <w:link w:val="TextonotaalfinalCar"/>
    <w:uiPriority w:val="99"/>
    <w:semiHidden/>
    <w:unhideWhenUsed/>
    <w:rsid w:val="000E150F"/>
    <w:rPr>
      <w:sz w:val="20"/>
      <w:szCs w:val="20"/>
    </w:rPr>
  </w:style>
  <w:style w:type="character" w:customStyle="1" w:styleId="TextonotaalfinalCar">
    <w:name w:val="Texto nota al final Car"/>
    <w:basedOn w:val="Fuentedeprrafopredeter"/>
    <w:link w:val="Textonotaalfinal"/>
    <w:uiPriority w:val="99"/>
    <w:semiHidden/>
    <w:rsid w:val="000E150F"/>
    <w:rPr>
      <w:rFonts w:ascii="Times New Roman" w:eastAsia="Times New Roman" w:hAnsi="Times New Roman" w:cs="Times New Roman"/>
      <w:kern w:val="0"/>
      <w:sz w:val="20"/>
      <w:szCs w:val="20"/>
      <w:lang w:val="es-CO" w:eastAsia="es-MX"/>
      <w14:ligatures w14:val="none"/>
    </w:rPr>
  </w:style>
  <w:style w:type="character" w:styleId="Refdenotaalfinal">
    <w:name w:val="endnote reference"/>
    <w:basedOn w:val="Fuentedeprrafopredeter"/>
    <w:uiPriority w:val="99"/>
    <w:semiHidden/>
    <w:unhideWhenUsed/>
    <w:rsid w:val="000E15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275193">
      <w:bodyDiv w:val="1"/>
      <w:marLeft w:val="0"/>
      <w:marRight w:val="0"/>
      <w:marTop w:val="0"/>
      <w:marBottom w:val="0"/>
      <w:divBdr>
        <w:top w:val="none" w:sz="0" w:space="0" w:color="auto"/>
        <w:left w:val="none" w:sz="0" w:space="0" w:color="auto"/>
        <w:bottom w:val="none" w:sz="0" w:space="0" w:color="auto"/>
        <w:right w:val="none" w:sz="0" w:space="0" w:color="auto"/>
      </w:divBdr>
    </w:div>
    <w:div w:id="191964233">
      <w:bodyDiv w:val="1"/>
      <w:marLeft w:val="0"/>
      <w:marRight w:val="0"/>
      <w:marTop w:val="0"/>
      <w:marBottom w:val="0"/>
      <w:divBdr>
        <w:top w:val="none" w:sz="0" w:space="0" w:color="auto"/>
        <w:left w:val="none" w:sz="0" w:space="0" w:color="auto"/>
        <w:bottom w:val="none" w:sz="0" w:space="0" w:color="auto"/>
        <w:right w:val="none" w:sz="0" w:space="0" w:color="auto"/>
      </w:divBdr>
    </w:div>
    <w:div w:id="212231847">
      <w:bodyDiv w:val="1"/>
      <w:marLeft w:val="0"/>
      <w:marRight w:val="0"/>
      <w:marTop w:val="0"/>
      <w:marBottom w:val="0"/>
      <w:divBdr>
        <w:top w:val="none" w:sz="0" w:space="0" w:color="auto"/>
        <w:left w:val="none" w:sz="0" w:space="0" w:color="auto"/>
        <w:bottom w:val="none" w:sz="0" w:space="0" w:color="auto"/>
        <w:right w:val="none" w:sz="0" w:space="0" w:color="auto"/>
      </w:divBdr>
    </w:div>
    <w:div w:id="788089836">
      <w:bodyDiv w:val="1"/>
      <w:marLeft w:val="0"/>
      <w:marRight w:val="0"/>
      <w:marTop w:val="0"/>
      <w:marBottom w:val="0"/>
      <w:divBdr>
        <w:top w:val="none" w:sz="0" w:space="0" w:color="auto"/>
        <w:left w:val="none" w:sz="0" w:space="0" w:color="auto"/>
        <w:bottom w:val="none" w:sz="0" w:space="0" w:color="auto"/>
        <w:right w:val="none" w:sz="0" w:space="0" w:color="auto"/>
      </w:divBdr>
    </w:div>
    <w:div w:id="865601259">
      <w:bodyDiv w:val="1"/>
      <w:marLeft w:val="0"/>
      <w:marRight w:val="0"/>
      <w:marTop w:val="0"/>
      <w:marBottom w:val="0"/>
      <w:divBdr>
        <w:top w:val="none" w:sz="0" w:space="0" w:color="auto"/>
        <w:left w:val="none" w:sz="0" w:space="0" w:color="auto"/>
        <w:bottom w:val="none" w:sz="0" w:space="0" w:color="auto"/>
        <w:right w:val="none" w:sz="0" w:space="0" w:color="auto"/>
      </w:divBdr>
    </w:div>
    <w:div w:id="963538621">
      <w:bodyDiv w:val="1"/>
      <w:marLeft w:val="0"/>
      <w:marRight w:val="0"/>
      <w:marTop w:val="0"/>
      <w:marBottom w:val="0"/>
      <w:divBdr>
        <w:top w:val="none" w:sz="0" w:space="0" w:color="auto"/>
        <w:left w:val="none" w:sz="0" w:space="0" w:color="auto"/>
        <w:bottom w:val="none" w:sz="0" w:space="0" w:color="auto"/>
        <w:right w:val="none" w:sz="0" w:space="0" w:color="auto"/>
      </w:divBdr>
    </w:div>
    <w:div w:id="971784137">
      <w:bodyDiv w:val="1"/>
      <w:marLeft w:val="0"/>
      <w:marRight w:val="0"/>
      <w:marTop w:val="0"/>
      <w:marBottom w:val="0"/>
      <w:divBdr>
        <w:top w:val="none" w:sz="0" w:space="0" w:color="auto"/>
        <w:left w:val="none" w:sz="0" w:space="0" w:color="auto"/>
        <w:bottom w:val="none" w:sz="0" w:space="0" w:color="auto"/>
        <w:right w:val="none" w:sz="0" w:space="0" w:color="auto"/>
      </w:divBdr>
    </w:div>
    <w:div w:id="1058699405">
      <w:bodyDiv w:val="1"/>
      <w:marLeft w:val="0"/>
      <w:marRight w:val="0"/>
      <w:marTop w:val="0"/>
      <w:marBottom w:val="0"/>
      <w:divBdr>
        <w:top w:val="none" w:sz="0" w:space="0" w:color="auto"/>
        <w:left w:val="none" w:sz="0" w:space="0" w:color="auto"/>
        <w:bottom w:val="none" w:sz="0" w:space="0" w:color="auto"/>
        <w:right w:val="none" w:sz="0" w:space="0" w:color="auto"/>
      </w:divBdr>
    </w:div>
    <w:div w:id="1176575910">
      <w:bodyDiv w:val="1"/>
      <w:marLeft w:val="0"/>
      <w:marRight w:val="0"/>
      <w:marTop w:val="0"/>
      <w:marBottom w:val="0"/>
      <w:divBdr>
        <w:top w:val="none" w:sz="0" w:space="0" w:color="auto"/>
        <w:left w:val="none" w:sz="0" w:space="0" w:color="auto"/>
        <w:bottom w:val="none" w:sz="0" w:space="0" w:color="auto"/>
        <w:right w:val="none" w:sz="0" w:space="0" w:color="auto"/>
      </w:divBdr>
    </w:div>
    <w:div w:id="1361198490">
      <w:bodyDiv w:val="1"/>
      <w:marLeft w:val="0"/>
      <w:marRight w:val="0"/>
      <w:marTop w:val="0"/>
      <w:marBottom w:val="0"/>
      <w:divBdr>
        <w:top w:val="none" w:sz="0" w:space="0" w:color="auto"/>
        <w:left w:val="none" w:sz="0" w:space="0" w:color="auto"/>
        <w:bottom w:val="none" w:sz="0" w:space="0" w:color="auto"/>
        <w:right w:val="none" w:sz="0" w:space="0" w:color="auto"/>
      </w:divBdr>
    </w:div>
    <w:div w:id="1437359414">
      <w:bodyDiv w:val="1"/>
      <w:marLeft w:val="0"/>
      <w:marRight w:val="0"/>
      <w:marTop w:val="0"/>
      <w:marBottom w:val="0"/>
      <w:divBdr>
        <w:top w:val="none" w:sz="0" w:space="0" w:color="auto"/>
        <w:left w:val="none" w:sz="0" w:space="0" w:color="auto"/>
        <w:bottom w:val="none" w:sz="0" w:space="0" w:color="auto"/>
        <w:right w:val="none" w:sz="0" w:space="0" w:color="auto"/>
      </w:divBdr>
    </w:div>
    <w:div w:id="1811315875">
      <w:bodyDiv w:val="1"/>
      <w:marLeft w:val="0"/>
      <w:marRight w:val="0"/>
      <w:marTop w:val="0"/>
      <w:marBottom w:val="0"/>
      <w:divBdr>
        <w:top w:val="none" w:sz="0" w:space="0" w:color="auto"/>
        <w:left w:val="none" w:sz="0" w:space="0" w:color="auto"/>
        <w:bottom w:val="none" w:sz="0" w:space="0" w:color="auto"/>
        <w:right w:val="none" w:sz="0" w:space="0" w:color="auto"/>
      </w:divBdr>
    </w:div>
    <w:div w:id="1845854133">
      <w:bodyDiv w:val="1"/>
      <w:marLeft w:val="0"/>
      <w:marRight w:val="0"/>
      <w:marTop w:val="0"/>
      <w:marBottom w:val="0"/>
      <w:divBdr>
        <w:top w:val="none" w:sz="0" w:space="0" w:color="auto"/>
        <w:left w:val="none" w:sz="0" w:space="0" w:color="auto"/>
        <w:bottom w:val="none" w:sz="0" w:space="0" w:color="auto"/>
        <w:right w:val="none" w:sz="0" w:space="0" w:color="auto"/>
      </w:divBdr>
    </w:div>
    <w:div w:id="2031371665">
      <w:bodyDiv w:val="1"/>
      <w:marLeft w:val="0"/>
      <w:marRight w:val="0"/>
      <w:marTop w:val="0"/>
      <w:marBottom w:val="0"/>
      <w:divBdr>
        <w:top w:val="none" w:sz="0" w:space="0" w:color="auto"/>
        <w:left w:val="none" w:sz="0" w:space="0" w:color="auto"/>
        <w:bottom w:val="none" w:sz="0" w:space="0" w:color="auto"/>
        <w:right w:val="none" w:sz="0" w:space="0" w:color="auto"/>
      </w:divBdr>
    </w:div>
    <w:div w:id="2038044428">
      <w:bodyDiv w:val="1"/>
      <w:marLeft w:val="0"/>
      <w:marRight w:val="0"/>
      <w:marTop w:val="0"/>
      <w:marBottom w:val="0"/>
      <w:divBdr>
        <w:top w:val="none" w:sz="0" w:space="0" w:color="auto"/>
        <w:left w:val="none" w:sz="0" w:space="0" w:color="auto"/>
        <w:bottom w:val="none" w:sz="0" w:space="0" w:color="auto"/>
        <w:right w:val="none" w:sz="0" w:space="0" w:color="auto"/>
      </w:divBdr>
    </w:div>
    <w:div w:id="2124496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espin\Desktop\Semillero_coyuntura_economica\balanza-de-pagos\output\Grafico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eafit-my.sharepoint.com/personal/jsalazara1_eafit_edu_co/Documents/Archivos%20de%20chat%20de%20Microsoft%20Teams/Balanza_de_pagos_Maximo_nivel_de_detalle_2026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espin\Desktop\Semillero_coyuntura_economica\balanza-de-pagos\output\Grafico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eafit-my.sharepoint.com/personal/jsalazara1_eafit_edu_co/Documents/Archivos%20de%20chat%20de%20Microsoft%20Teams/Balanza_de_pagos_Maximo_nivel_de_detalle_20262.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9581566727236023E-2"/>
          <c:y val="1.6180644233434585E-2"/>
          <c:w val="0.83029191062655627"/>
          <c:h val="0.69992078431645444"/>
        </c:manualLayout>
      </c:layout>
      <c:barChart>
        <c:barDir val="col"/>
        <c:grouping val="stacked"/>
        <c:varyColors val="0"/>
        <c:ser>
          <c:idx val="0"/>
          <c:order val="0"/>
          <c:tx>
            <c:strRef>
              <c:f>'Resumen CA'!$C$1</c:f>
              <c:strCache>
                <c:ptCount val="1"/>
                <c:pt idx="0">
                  <c:v>Bienes</c:v>
                </c:pt>
              </c:strCache>
            </c:strRef>
          </c:tx>
          <c:spPr>
            <a:solidFill>
              <a:schemeClr val="accent2"/>
            </a:solidFill>
            <a:ln>
              <a:noFill/>
            </a:ln>
            <a:effectLst/>
          </c:spPr>
          <c:invertIfNegative val="0"/>
          <c:cat>
            <c:multiLvlStrRef>
              <c:f>'Resumen CA'!$A$90:$B$107</c:f>
              <c:multiLvlStrCache>
                <c:ptCount val="18"/>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lvl>
                <c:lvl>
                  <c:pt idx="0">
                    <c:v>2022</c:v>
                  </c:pt>
                  <c:pt idx="4">
                    <c:v>2023</c:v>
                  </c:pt>
                  <c:pt idx="8">
                    <c:v>2024</c:v>
                  </c:pt>
                  <c:pt idx="12">
                    <c:v>2025</c:v>
                  </c:pt>
                  <c:pt idx="16">
                    <c:v>2026</c:v>
                  </c:pt>
                </c:lvl>
              </c:multiLvlStrCache>
            </c:multiLvlStrRef>
          </c:cat>
          <c:val>
            <c:numRef>
              <c:f>'Resumen CA'!$C$90:$C$107</c:f>
              <c:numCache>
                <c:formatCode>General</c:formatCode>
                <c:ptCount val="18"/>
                <c:pt idx="0">
                  <c:v>-3733.9745189999999</c:v>
                </c:pt>
                <c:pt idx="1">
                  <c:v>-1974.6221410000001</c:v>
                </c:pt>
                <c:pt idx="2">
                  <c:v>-3684.4672150000001</c:v>
                </c:pt>
                <c:pt idx="3">
                  <c:v>-2785.185105</c:v>
                </c:pt>
                <c:pt idx="4">
                  <c:v>-1917.4467360000001</c:v>
                </c:pt>
                <c:pt idx="5">
                  <c:v>-1699.2559249999999</c:v>
                </c:pt>
                <c:pt idx="6">
                  <c:v>-1352.9820709999999</c:v>
                </c:pt>
                <c:pt idx="7">
                  <c:v>-1837.8732230000001</c:v>
                </c:pt>
                <c:pt idx="8">
                  <c:v>-2105.2188679999999</c:v>
                </c:pt>
                <c:pt idx="9">
                  <c:v>-1967.1971699999999</c:v>
                </c:pt>
                <c:pt idx="10">
                  <c:v>-2318.0735410000002</c:v>
                </c:pt>
                <c:pt idx="11">
                  <c:v>-2765.2802750000001</c:v>
                </c:pt>
                <c:pt idx="12">
                  <c:v>-3064.9038690000002</c:v>
                </c:pt>
                <c:pt idx="13">
                  <c:v>-3639.7700669999999</c:v>
                </c:pt>
                <c:pt idx="14">
                  <c:v>-4012.246185</c:v>
                </c:pt>
                <c:pt idx="15">
                  <c:v>-4123.0517929999996</c:v>
                </c:pt>
                <c:pt idx="16">
                  <c:v>-2895.8519919999999</c:v>
                </c:pt>
                <c:pt idx="17">
                  <c:v>-4915.2941940000001</c:v>
                </c:pt>
              </c:numCache>
            </c:numRef>
          </c:val>
          <c:extLst>
            <c:ext xmlns:c16="http://schemas.microsoft.com/office/drawing/2014/chart" uri="{C3380CC4-5D6E-409C-BE32-E72D297353CC}">
              <c16:uniqueId val="{00000000-3B0A-4574-AA86-369B21FE9A82}"/>
            </c:ext>
          </c:extLst>
        </c:ser>
        <c:ser>
          <c:idx val="1"/>
          <c:order val="1"/>
          <c:tx>
            <c:strRef>
              <c:f>'Resumen CA'!$D$1</c:f>
              <c:strCache>
                <c:ptCount val="1"/>
                <c:pt idx="0">
                  <c:v>Servicios</c:v>
                </c:pt>
              </c:strCache>
            </c:strRef>
          </c:tx>
          <c:spPr>
            <a:solidFill>
              <a:schemeClr val="accent4"/>
            </a:solidFill>
            <a:ln>
              <a:noFill/>
            </a:ln>
            <a:effectLst/>
          </c:spPr>
          <c:invertIfNegative val="0"/>
          <c:cat>
            <c:multiLvlStrRef>
              <c:f>'Resumen CA'!$A$90:$B$107</c:f>
              <c:multiLvlStrCache>
                <c:ptCount val="18"/>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lvl>
                <c:lvl>
                  <c:pt idx="0">
                    <c:v>2022</c:v>
                  </c:pt>
                  <c:pt idx="4">
                    <c:v>2023</c:v>
                  </c:pt>
                  <c:pt idx="8">
                    <c:v>2024</c:v>
                  </c:pt>
                  <c:pt idx="12">
                    <c:v>2025</c:v>
                  </c:pt>
                  <c:pt idx="16">
                    <c:v>2026</c:v>
                  </c:pt>
                </c:lvl>
              </c:multiLvlStrCache>
            </c:multiLvlStrRef>
          </c:cat>
          <c:val>
            <c:numRef>
              <c:f>'Resumen CA'!$D$90:$D$107</c:f>
              <c:numCache>
                <c:formatCode>General</c:formatCode>
                <c:ptCount val="18"/>
                <c:pt idx="0">
                  <c:v>-1222.799953</c:v>
                </c:pt>
                <c:pt idx="1">
                  <c:v>-1074.0532450000001</c:v>
                </c:pt>
                <c:pt idx="2">
                  <c:v>-731.03364350000004</c:v>
                </c:pt>
                <c:pt idx="3">
                  <c:v>-886.62109459999999</c:v>
                </c:pt>
                <c:pt idx="4">
                  <c:v>-258.38482520000002</c:v>
                </c:pt>
                <c:pt idx="5">
                  <c:v>-359.5923598</c:v>
                </c:pt>
                <c:pt idx="6">
                  <c:v>-49.504994519999997</c:v>
                </c:pt>
                <c:pt idx="7">
                  <c:v>-326.3837542</c:v>
                </c:pt>
                <c:pt idx="8">
                  <c:v>336.06138111000001</c:v>
                </c:pt>
                <c:pt idx="9">
                  <c:v>-391.21461119999998</c:v>
                </c:pt>
                <c:pt idx="10">
                  <c:v>-58.623574419999997</c:v>
                </c:pt>
                <c:pt idx="11">
                  <c:v>-496.68945129999997</c:v>
                </c:pt>
                <c:pt idx="12">
                  <c:v>536.63168242999996</c:v>
                </c:pt>
                <c:pt idx="13">
                  <c:v>-187.57578409999999</c:v>
                </c:pt>
                <c:pt idx="14">
                  <c:v>-86.541001780000002</c:v>
                </c:pt>
                <c:pt idx="15">
                  <c:v>-363.35115990000003</c:v>
                </c:pt>
                <c:pt idx="16">
                  <c:v>372.93677248</c:v>
                </c:pt>
                <c:pt idx="17">
                  <c:v>-631.10858829999995</c:v>
                </c:pt>
              </c:numCache>
            </c:numRef>
          </c:val>
          <c:extLst>
            <c:ext xmlns:c16="http://schemas.microsoft.com/office/drawing/2014/chart" uri="{C3380CC4-5D6E-409C-BE32-E72D297353CC}">
              <c16:uniqueId val="{00000001-3B0A-4574-AA86-369B21FE9A82}"/>
            </c:ext>
          </c:extLst>
        </c:ser>
        <c:ser>
          <c:idx val="2"/>
          <c:order val="2"/>
          <c:tx>
            <c:strRef>
              <c:f>'Resumen CA'!$E$1</c:f>
              <c:strCache>
                <c:ptCount val="1"/>
                <c:pt idx="0">
                  <c:v>Ingreso primario (Renta factorial)</c:v>
                </c:pt>
              </c:strCache>
            </c:strRef>
          </c:tx>
          <c:spPr>
            <a:solidFill>
              <a:schemeClr val="accent6"/>
            </a:solidFill>
            <a:ln>
              <a:noFill/>
            </a:ln>
            <a:effectLst/>
          </c:spPr>
          <c:invertIfNegative val="0"/>
          <c:cat>
            <c:multiLvlStrRef>
              <c:f>'Resumen CA'!$A$90:$B$107</c:f>
              <c:multiLvlStrCache>
                <c:ptCount val="18"/>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lvl>
                <c:lvl>
                  <c:pt idx="0">
                    <c:v>2022</c:v>
                  </c:pt>
                  <c:pt idx="4">
                    <c:v>2023</c:v>
                  </c:pt>
                  <c:pt idx="8">
                    <c:v>2024</c:v>
                  </c:pt>
                  <c:pt idx="12">
                    <c:v>2025</c:v>
                  </c:pt>
                  <c:pt idx="16">
                    <c:v>2026</c:v>
                  </c:pt>
                </c:lvl>
              </c:multiLvlStrCache>
            </c:multiLvlStrRef>
          </c:cat>
          <c:val>
            <c:numRef>
              <c:f>'Resumen CA'!$E$90:$E$107</c:f>
              <c:numCache>
                <c:formatCode>General</c:formatCode>
                <c:ptCount val="18"/>
                <c:pt idx="0">
                  <c:v>-3616.8406690000002</c:v>
                </c:pt>
                <c:pt idx="1">
                  <c:v>-4530.5394310000001</c:v>
                </c:pt>
                <c:pt idx="2">
                  <c:v>-4794.7434119999998</c:v>
                </c:pt>
                <c:pt idx="3">
                  <c:v>-4144.2064620000001</c:v>
                </c:pt>
                <c:pt idx="4">
                  <c:v>-3727.0918120000001</c:v>
                </c:pt>
                <c:pt idx="5">
                  <c:v>-3056.0840710000002</c:v>
                </c:pt>
                <c:pt idx="6">
                  <c:v>-3507.7165030000001</c:v>
                </c:pt>
                <c:pt idx="7">
                  <c:v>-3147.8981239999998</c:v>
                </c:pt>
                <c:pt idx="8">
                  <c:v>-3146.3645550000001</c:v>
                </c:pt>
                <c:pt idx="9">
                  <c:v>-2955.9609759999998</c:v>
                </c:pt>
                <c:pt idx="10">
                  <c:v>-3330.4231060000002</c:v>
                </c:pt>
                <c:pt idx="11">
                  <c:v>-3360.3882709999998</c:v>
                </c:pt>
                <c:pt idx="12">
                  <c:v>-2966.6696280000001</c:v>
                </c:pt>
                <c:pt idx="13">
                  <c:v>-2801.3848459999999</c:v>
                </c:pt>
                <c:pt idx="14">
                  <c:v>-3127.3670750000001</c:v>
                </c:pt>
                <c:pt idx="15">
                  <c:v>-3654.6438210000001</c:v>
                </c:pt>
                <c:pt idx="16">
                  <c:v>-2933.0847309999999</c:v>
                </c:pt>
                <c:pt idx="17">
                  <c:v>-3286.7774979999999</c:v>
                </c:pt>
              </c:numCache>
            </c:numRef>
          </c:val>
          <c:extLst>
            <c:ext xmlns:c16="http://schemas.microsoft.com/office/drawing/2014/chart" uri="{C3380CC4-5D6E-409C-BE32-E72D297353CC}">
              <c16:uniqueId val="{00000002-3B0A-4574-AA86-369B21FE9A82}"/>
            </c:ext>
          </c:extLst>
        </c:ser>
        <c:ser>
          <c:idx val="3"/>
          <c:order val="3"/>
          <c:tx>
            <c:strRef>
              <c:f>'Resumen CA'!$F$1</c:f>
              <c:strCache>
                <c:ptCount val="1"/>
                <c:pt idx="0">
                  <c:v>Ingreso secundario (Transferencias corrientes)</c:v>
                </c:pt>
              </c:strCache>
            </c:strRef>
          </c:tx>
          <c:spPr>
            <a:solidFill>
              <a:schemeClr val="accent2">
                <a:lumMod val="60000"/>
              </a:schemeClr>
            </a:solidFill>
            <a:ln>
              <a:noFill/>
            </a:ln>
            <a:effectLst/>
          </c:spPr>
          <c:invertIfNegative val="0"/>
          <c:cat>
            <c:multiLvlStrRef>
              <c:f>'Resumen CA'!$A$90:$B$107</c:f>
              <c:multiLvlStrCache>
                <c:ptCount val="18"/>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lvl>
                <c:lvl>
                  <c:pt idx="0">
                    <c:v>2022</c:v>
                  </c:pt>
                  <c:pt idx="4">
                    <c:v>2023</c:v>
                  </c:pt>
                  <c:pt idx="8">
                    <c:v>2024</c:v>
                  </c:pt>
                  <c:pt idx="12">
                    <c:v>2025</c:v>
                  </c:pt>
                  <c:pt idx="16">
                    <c:v>2026</c:v>
                  </c:pt>
                </c:lvl>
              </c:multiLvlStrCache>
            </c:multiLvlStrRef>
          </c:cat>
          <c:val>
            <c:numRef>
              <c:f>'Resumen CA'!$F$90:$F$107</c:f>
              <c:numCache>
                <c:formatCode>General</c:formatCode>
                <c:ptCount val="18"/>
                <c:pt idx="0">
                  <c:v>3176.4941878999998</c:v>
                </c:pt>
                <c:pt idx="1">
                  <c:v>2828.6900346000002</c:v>
                </c:pt>
                <c:pt idx="2">
                  <c:v>3103.6650636999998</c:v>
                </c:pt>
                <c:pt idx="3">
                  <c:v>3192.6166724999998</c:v>
                </c:pt>
                <c:pt idx="4">
                  <c:v>3094.4083856000002</c:v>
                </c:pt>
                <c:pt idx="5">
                  <c:v>3029.1708956000002</c:v>
                </c:pt>
                <c:pt idx="6">
                  <c:v>3364.7879063</c:v>
                </c:pt>
                <c:pt idx="7">
                  <c:v>3433.6791029999999</c:v>
                </c:pt>
                <c:pt idx="8">
                  <c:v>3331.0706616000002</c:v>
                </c:pt>
                <c:pt idx="9">
                  <c:v>3896.7697896999998</c:v>
                </c:pt>
                <c:pt idx="10">
                  <c:v>4073.2696314999998</c:v>
                </c:pt>
                <c:pt idx="11">
                  <c:v>4206.0449349</c:v>
                </c:pt>
                <c:pt idx="12">
                  <c:v>3846.2213740000002</c:v>
                </c:pt>
                <c:pt idx="13">
                  <c:v>4150.9926160000005</c:v>
                </c:pt>
                <c:pt idx="14">
                  <c:v>4212.9061881999996</c:v>
                </c:pt>
                <c:pt idx="15">
                  <c:v>4224.3082538999997</c:v>
                </c:pt>
                <c:pt idx="16">
                  <c:v>4177.6028327000004</c:v>
                </c:pt>
                <c:pt idx="17">
                  <c:v>4130.8992134</c:v>
                </c:pt>
              </c:numCache>
            </c:numRef>
          </c:val>
          <c:extLst>
            <c:ext xmlns:c16="http://schemas.microsoft.com/office/drawing/2014/chart" uri="{C3380CC4-5D6E-409C-BE32-E72D297353CC}">
              <c16:uniqueId val="{00000003-3B0A-4574-AA86-369B21FE9A82}"/>
            </c:ext>
          </c:extLst>
        </c:ser>
        <c:dLbls>
          <c:showLegendKey val="0"/>
          <c:showVal val="0"/>
          <c:showCatName val="0"/>
          <c:showSerName val="0"/>
          <c:showPercent val="0"/>
          <c:showBubbleSize val="0"/>
        </c:dLbls>
        <c:gapWidth val="80"/>
        <c:overlap val="100"/>
        <c:axId val="1088129056"/>
        <c:axId val="2020704416"/>
      </c:barChart>
      <c:lineChart>
        <c:grouping val="standard"/>
        <c:varyColors val="0"/>
        <c:ser>
          <c:idx val="4"/>
          <c:order val="4"/>
          <c:tx>
            <c:strRef>
              <c:f>'Resumen CA'!$G$1</c:f>
              <c:strCache>
                <c:ptCount val="1"/>
                <c:pt idx="0">
                  <c:v>Cuenta corriente (% PIB)</c:v>
                </c:pt>
              </c:strCache>
            </c:strRef>
          </c:tx>
          <c:spPr>
            <a:ln w="19050" cap="rnd" cmpd="sng" algn="ctr">
              <a:solidFill>
                <a:schemeClr val="accent4">
                  <a:lumMod val="60000"/>
                </a:schemeClr>
              </a:solidFill>
              <a:prstDash val="solid"/>
              <a:round/>
            </a:ln>
            <a:effectLst/>
          </c:spPr>
          <c:marker>
            <c:symbol val="none"/>
          </c:marker>
          <c:dLbls>
            <c:dLbl>
              <c:idx val="6"/>
              <c:layout>
                <c:manualLayout>
                  <c:x val="0"/>
                  <c:y val="2.65134776844895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3B0A-4574-AA86-369B21FE9A82}"/>
                </c:ext>
              </c:extLst>
            </c:dLbl>
            <c:dLbl>
              <c:idx val="8"/>
              <c:layout>
                <c:manualLayout>
                  <c:x val="0"/>
                  <c:y val="-1.767565178965974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3B0A-4574-AA86-369B21FE9A82}"/>
                </c:ext>
              </c:extLst>
            </c:dLbl>
            <c:dLbl>
              <c:idx val="9"/>
              <c:layout>
                <c:manualLayout>
                  <c:x val="8.5470085470084681E-3"/>
                  <c:y val="-1.47297098247164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B0A-4574-AA86-369B21FE9A82}"/>
                </c:ext>
              </c:extLst>
            </c:dLbl>
            <c:dLbl>
              <c:idx val="13"/>
              <c:layout>
                <c:manualLayout>
                  <c:x val="-1.5669334656024605E-16"/>
                  <c:y val="-1.47297098247164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B0A-4574-AA86-369B21FE9A82}"/>
                </c:ext>
              </c:extLst>
            </c:dLbl>
            <c:spPr>
              <a:noFill/>
              <a:ln>
                <a:noFill/>
                <a:prstDash val="solid"/>
              </a:ln>
              <a:effectLst/>
            </c:spPr>
            <c:txPr>
              <a:bodyPr rot="0" spcFirstLastPara="1" vertOverflow="ellipsis" vert="horz" wrap="square" lIns="38100" tIns="19050" rIns="38100" bIns="19050" anchor="ctr" anchorCtr="1">
                <a:spAutoFit/>
              </a:bodyPr>
              <a:lstStyle/>
              <a:p>
                <a:pPr>
                  <a:defRPr lang="en-US" sz="9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'Resumen CA'!$A$90:$B$107</c:f>
              <c:multiLvlStrCache>
                <c:ptCount val="18"/>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lvl>
                <c:lvl>
                  <c:pt idx="0">
                    <c:v>2022</c:v>
                  </c:pt>
                  <c:pt idx="4">
                    <c:v>2023</c:v>
                  </c:pt>
                  <c:pt idx="8">
                    <c:v>2024</c:v>
                  </c:pt>
                  <c:pt idx="12">
                    <c:v>2025</c:v>
                  </c:pt>
                  <c:pt idx="16">
                    <c:v>2026</c:v>
                  </c:pt>
                </c:lvl>
              </c:multiLvlStrCache>
            </c:multiLvlStrRef>
          </c:cat>
          <c:val>
            <c:numRef>
              <c:f>'Resumen CA'!$G$90:$G$107</c:f>
              <c:numCache>
                <c:formatCode>0.0%</c:formatCode>
                <c:ptCount val="18"/>
                <c:pt idx="0">
                  <c:v>-6.3E-2</c:v>
                </c:pt>
                <c:pt idx="1">
                  <c:v>-5.2999999999999999E-2</c:v>
                </c:pt>
                <c:pt idx="2">
                  <c:v>-6.9000000000000006E-2</c:v>
                </c:pt>
                <c:pt idx="3">
                  <c:v>-5.5999999999999987E-2</c:v>
                </c:pt>
                <c:pt idx="4">
                  <c:v>-3.5000000000000003E-2</c:v>
                </c:pt>
                <c:pt idx="5">
                  <c:v>-2.4E-2</c:v>
                </c:pt>
                <c:pt idx="6">
                  <c:v>-1.6E-2</c:v>
                </c:pt>
                <c:pt idx="7">
                  <c:v>-1.7999999999999999E-2</c:v>
                </c:pt>
                <c:pt idx="8">
                  <c:v>-1.4999999999999999E-2</c:v>
                </c:pt>
                <c:pt idx="9">
                  <c:v>-1.4E-2</c:v>
                </c:pt>
                <c:pt idx="10">
                  <c:v>-1.4999999999999999E-2</c:v>
                </c:pt>
                <c:pt idx="11">
                  <c:v>-2.3E-2</c:v>
                </c:pt>
                <c:pt idx="12">
                  <c:v>-1.4999999999999999E-2</c:v>
                </c:pt>
                <c:pt idx="13">
                  <c:v>-2.4E-2</c:v>
                </c:pt>
                <c:pt idx="14">
                  <c:v>-2.5000000000000001E-2</c:v>
                </c:pt>
                <c:pt idx="15">
                  <c:v>-3.1E-2</c:v>
                </c:pt>
                <c:pt idx="16">
                  <c:v>-0.01</c:v>
                </c:pt>
                <c:pt idx="17">
                  <c:v>-3.5000000000000003E-2</c:v>
                </c:pt>
              </c:numCache>
            </c:numRef>
          </c:val>
          <c:smooth val="0"/>
          <c:extLst>
            <c:ext xmlns:c16="http://schemas.microsoft.com/office/drawing/2014/chart" uri="{C3380CC4-5D6E-409C-BE32-E72D297353CC}">
              <c16:uniqueId val="{00000004-3B0A-4574-AA86-369B21FE9A82}"/>
            </c:ext>
          </c:extLst>
        </c:ser>
        <c:dLbls>
          <c:showLegendKey val="0"/>
          <c:showVal val="0"/>
          <c:showCatName val="0"/>
          <c:showSerName val="0"/>
          <c:showPercent val="0"/>
          <c:showBubbleSize val="0"/>
        </c:dLbls>
        <c:marker val="1"/>
        <c:smooth val="0"/>
        <c:axId val="1085289168"/>
        <c:axId val="1829122128"/>
      </c:lineChart>
      <c:catAx>
        <c:axId val="1088129056"/>
        <c:scaling>
          <c:orientation val="minMax"/>
        </c:scaling>
        <c:delete val="0"/>
        <c:axPos val="b"/>
        <c:numFmt formatCode="General" sourceLinked="1"/>
        <c:majorTickMark val="none"/>
        <c:minorTickMark val="none"/>
        <c:tickLblPos val="low"/>
        <c:spPr>
          <a:noFill/>
          <a:ln w="9525" cap="flat" cmpd="sng" algn="ctr">
            <a:solidFill>
              <a:schemeClr val="bg1">
                <a:lumMod val="50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020704416"/>
        <c:crossesAt val="0"/>
        <c:auto val="1"/>
        <c:lblAlgn val="ctr"/>
        <c:lblOffset val="100"/>
        <c:noMultiLvlLbl val="0"/>
      </c:catAx>
      <c:valAx>
        <c:axId val="2020704416"/>
        <c:scaling>
          <c:orientation val="minMax"/>
        </c:scaling>
        <c:delete val="0"/>
        <c:axPos val="l"/>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088129056"/>
        <c:crosses val="autoZero"/>
        <c:crossBetween val="between"/>
      </c:valAx>
      <c:catAx>
        <c:axId val="1085289168"/>
        <c:scaling>
          <c:orientation val="minMax"/>
        </c:scaling>
        <c:delete val="1"/>
        <c:axPos val="b"/>
        <c:numFmt formatCode="General" sourceLinked="1"/>
        <c:majorTickMark val="out"/>
        <c:minorTickMark val="none"/>
        <c:tickLblPos val="nextTo"/>
        <c:crossAx val="1829122128"/>
        <c:crossesAt val="0"/>
        <c:auto val="1"/>
        <c:lblAlgn val="ctr"/>
        <c:lblOffset val="100"/>
        <c:noMultiLvlLbl val="0"/>
      </c:catAx>
      <c:valAx>
        <c:axId val="1829122128"/>
        <c:scaling>
          <c:orientation val="minMax"/>
          <c:max val="4.8000000000000008E-2"/>
          <c:min val="-8.0000000000000016E-2"/>
        </c:scaling>
        <c:delete val="0"/>
        <c:axPos val="r"/>
        <c:numFmt formatCode="0.0%"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085289168"/>
        <c:crosses val="max"/>
        <c:crossBetween val="between"/>
        <c:majorUnit val="2.0000000000000004E-2"/>
      </c:valAx>
      <c:spPr>
        <a:solidFill>
          <a:schemeClr val="bg1"/>
        </a:solidFill>
        <a:ln>
          <a:noFill/>
        </a:ln>
        <a:effectLst/>
      </c:spPr>
    </c:plotArea>
    <c:legend>
      <c:legendPos val="b"/>
      <c:layout>
        <c:manualLayout>
          <c:xMode val="edge"/>
          <c:yMode val="edge"/>
          <c:x val="5.7692307692307696E-2"/>
          <c:y val="0.84054984730974025"/>
          <c:w val="0.91235311932162322"/>
          <c:h val="0.14177450090059998"/>
        </c:manualLayout>
      </c:layout>
      <c:overlay val="0"/>
      <c:spPr>
        <a:noFill/>
        <a:ln>
          <a:noFill/>
          <a:prstDash val="solid"/>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noFill/>
      <a:prstDash val="solid"/>
      <a:round/>
    </a:ln>
    <a:effectLst/>
  </c:spPr>
  <c:txPr>
    <a:bodyPr/>
    <a:lstStyle/>
    <a:p>
      <a:pPr algn="ctr">
        <a:defRPr lang="en-US" sz="900" b="0" i="0" u="none" strike="noStrike" kern="1200" baseline="0">
          <a:solidFill>
            <a:schemeClr val="tx1"/>
          </a:solidFill>
          <a:latin typeface="+mn-lt"/>
          <a:ea typeface="+mn-ea"/>
          <a:cs typeface="+mn-cs"/>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Servicios!$C$2</c:f>
              <c:strCache>
                <c:ptCount val="1"/>
                <c:pt idx="0">
                  <c:v>Colombia</c:v>
                </c:pt>
              </c:strCache>
            </c:strRef>
          </c:tx>
          <c:spPr>
            <a:ln w="28575" cap="rnd">
              <a:solidFill>
                <a:schemeClr val="accent1"/>
              </a:solidFill>
              <a:round/>
            </a:ln>
            <a:effectLst/>
          </c:spPr>
          <c:marker>
            <c:symbol val="none"/>
          </c:marker>
          <c:cat>
            <c:multiLvlStrRef>
              <c:f>Servicios!$A$3:$B$24</c:f>
              <c:multiLvlStrCache>
                <c:ptCount val="22"/>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pt idx="20">
                    <c:v>I</c:v>
                  </c:pt>
                  <c:pt idx="21">
                    <c:v>II</c:v>
                  </c:pt>
                </c:lvl>
                <c:lvl>
                  <c:pt idx="0">
                    <c:v>2021</c:v>
                  </c:pt>
                  <c:pt idx="4">
                    <c:v>2022</c:v>
                  </c:pt>
                  <c:pt idx="8">
                    <c:v>2023</c:v>
                  </c:pt>
                  <c:pt idx="12">
                    <c:v>2024</c:v>
                  </c:pt>
                  <c:pt idx="16">
                    <c:v>2025</c:v>
                  </c:pt>
                  <c:pt idx="20">
                    <c:v>2026</c:v>
                  </c:pt>
                </c:lvl>
              </c:multiLvlStrCache>
            </c:multiLvlStrRef>
          </c:cat>
          <c:val>
            <c:numRef>
              <c:f>Servicios!$C$3:$C$24</c:f>
              <c:numCache>
                <c:formatCode>0.0%</c:formatCode>
                <c:ptCount val="22"/>
                <c:pt idx="0">
                  <c:v>-1.4291179258726784E-2</c:v>
                </c:pt>
                <c:pt idx="1">
                  <c:v>-1.9973054116084625E-2</c:v>
                </c:pt>
                <c:pt idx="2">
                  <c:v>-1.9499689914269772E-2</c:v>
                </c:pt>
                <c:pt idx="3">
                  <c:v>-2.1589677224259612E-2</c:v>
                </c:pt>
                <c:pt idx="4">
                  <c:v>-1.4196152708547722E-2</c:v>
                </c:pt>
                <c:pt idx="5">
                  <c:v>-1.1879551816591441E-2</c:v>
                </c:pt>
                <c:pt idx="6">
                  <c:v>-8.3226746917930833E-3</c:v>
                </c:pt>
                <c:pt idx="7">
                  <c:v>-1.0803685924542091E-2</c:v>
                </c:pt>
                <c:pt idx="8">
                  <c:v>-3.1818425888408023E-3</c:v>
                </c:pt>
                <c:pt idx="9">
                  <c:v>-4.1600347853922442E-3</c:v>
                </c:pt>
                <c:pt idx="10">
                  <c:v>-4.9843070970041899E-4</c:v>
                </c:pt>
                <c:pt idx="11">
                  <c:v>-3.1930953850377217E-3</c:v>
                </c:pt>
                <c:pt idx="12">
                  <c:v>3.2741381534618758E-3</c:v>
                </c:pt>
                <c:pt idx="13">
                  <c:v>-3.7469464719520895E-3</c:v>
                </c:pt>
                <c:pt idx="14">
                  <c:v>-5.5014359553387613E-4</c:v>
                </c:pt>
                <c:pt idx="15">
                  <c:v>-4.6566999074683256E-3</c:v>
                </c:pt>
                <c:pt idx="16">
                  <c:v>5.0375397568828443E-3</c:v>
                </c:pt>
                <c:pt idx="17">
                  <c:v>-1.7855019729454958E-3</c:v>
                </c:pt>
                <c:pt idx="18">
                  <c:v>-7.2550151392731274E-4</c:v>
                </c:pt>
                <c:pt idx="19">
                  <c:v>-2.8465658178967821E-3</c:v>
                </c:pt>
                <c:pt idx="20">
                  <c:v>2.8998117431252237E-3</c:v>
                </c:pt>
                <c:pt idx="21">
                  <c:v>-4.6852128017990354E-3</c:v>
                </c:pt>
              </c:numCache>
            </c:numRef>
          </c:val>
          <c:smooth val="1"/>
          <c:extLst>
            <c:ext xmlns:c16="http://schemas.microsoft.com/office/drawing/2014/chart" uri="{C3380CC4-5D6E-409C-BE32-E72D297353CC}">
              <c16:uniqueId val="{00000000-EB0D-4818-94F7-590AF62AF096}"/>
            </c:ext>
          </c:extLst>
        </c:ser>
        <c:ser>
          <c:idx val="1"/>
          <c:order val="1"/>
          <c:tx>
            <c:strRef>
              <c:f>Servicios!$D$2</c:f>
              <c:strCache>
                <c:ptCount val="1"/>
                <c:pt idx="0">
                  <c:v>Chile</c:v>
                </c:pt>
              </c:strCache>
            </c:strRef>
          </c:tx>
          <c:spPr>
            <a:ln w="28575" cap="rnd">
              <a:solidFill>
                <a:schemeClr val="accent2"/>
              </a:solidFill>
              <a:round/>
            </a:ln>
            <a:effectLst/>
          </c:spPr>
          <c:marker>
            <c:symbol val="none"/>
          </c:marker>
          <c:cat>
            <c:multiLvlStrRef>
              <c:f>Servicios!$A$3:$B$24</c:f>
              <c:multiLvlStrCache>
                <c:ptCount val="22"/>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pt idx="20">
                    <c:v>I</c:v>
                  </c:pt>
                  <c:pt idx="21">
                    <c:v>II</c:v>
                  </c:pt>
                </c:lvl>
                <c:lvl>
                  <c:pt idx="0">
                    <c:v>2021</c:v>
                  </c:pt>
                  <c:pt idx="4">
                    <c:v>2022</c:v>
                  </c:pt>
                  <c:pt idx="8">
                    <c:v>2023</c:v>
                  </c:pt>
                  <c:pt idx="12">
                    <c:v>2024</c:v>
                  </c:pt>
                  <c:pt idx="16">
                    <c:v>2025</c:v>
                  </c:pt>
                  <c:pt idx="20">
                    <c:v>2026</c:v>
                  </c:pt>
                </c:lvl>
              </c:multiLvlStrCache>
            </c:multiLvlStrRef>
          </c:cat>
          <c:val>
            <c:numRef>
              <c:f>Servicios!$D$3:$D$24</c:f>
              <c:numCache>
                <c:formatCode>0.0%</c:formatCode>
                <c:ptCount val="22"/>
                <c:pt idx="0">
                  <c:v>-3.1584912481204118E-2</c:v>
                </c:pt>
                <c:pt idx="1">
                  <c:v>-3.4219336710331255E-2</c:v>
                </c:pt>
                <c:pt idx="2">
                  <c:v>-4.4375106683851043E-2</c:v>
                </c:pt>
                <c:pt idx="3">
                  <c:v>-4.8052209985372317E-2</c:v>
                </c:pt>
                <c:pt idx="4">
                  <c:v>-4.9527639257344068E-2</c:v>
                </c:pt>
                <c:pt idx="5">
                  <c:v>-5.0180975381859574E-2</c:v>
                </c:pt>
                <c:pt idx="6">
                  <c:v>-5.2827091369611355E-2</c:v>
                </c:pt>
                <c:pt idx="7">
                  <c:v>-5.2636638525806072E-2</c:v>
                </c:pt>
                <c:pt idx="8">
                  <c:v>-2.9896571313110278E-2</c:v>
                </c:pt>
                <c:pt idx="9">
                  <c:v>-3.4043585202102301E-2</c:v>
                </c:pt>
                <c:pt idx="10">
                  <c:v>-3.4511540881447929E-2</c:v>
                </c:pt>
                <c:pt idx="11">
                  <c:v>-2.870938216211702E-2</c:v>
                </c:pt>
                <c:pt idx="12">
                  <c:v>-2.6106297156346762E-2</c:v>
                </c:pt>
                <c:pt idx="13">
                  <c:v>-2.9790235481727271E-2</c:v>
                </c:pt>
                <c:pt idx="14">
                  <c:v>-3.0390101463093663E-2</c:v>
                </c:pt>
                <c:pt idx="15">
                  <c:v>-2.6029926058906444E-2</c:v>
                </c:pt>
                <c:pt idx="16">
                  <c:v>-2.2438986886367501E-2</c:v>
                </c:pt>
                <c:pt idx="17">
                  <c:v>-2.8827662347769269E-2</c:v>
                </c:pt>
                <c:pt idx="18">
                  <c:v>-2.7238558783581741E-2</c:v>
                </c:pt>
                <c:pt idx="19">
                  <c:v>-2.1819249117457255E-2</c:v>
                </c:pt>
                <c:pt idx="20">
                  <c:v>-1.9252378168539745E-2</c:v>
                </c:pt>
                <c:pt idx="21">
                  <c:v>-2.7479257770527111E-2</c:v>
                </c:pt>
              </c:numCache>
            </c:numRef>
          </c:val>
          <c:smooth val="1"/>
          <c:extLst>
            <c:ext xmlns:c16="http://schemas.microsoft.com/office/drawing/2014/chart" uri="{C3380CC4-5D6E-409C-BE32-E72D297353CC}">
              <c16:uniqueId val="{00000001-EB0D-4818-94F7-590AF62AF096}"/>
            </c:ext>
          </c:extLst>
        </c:ser>
        <c:ser>
          <c:idx val="2"/>
          <c:order val="2"/>
          <c:tx>
            <c:strRef>
              <c:f>Servicios!$E$2</c:f>
              <c:strCache>
                <c:ptCount val="1"/>
                <c:pt idx="0">
                  <c:v>Brazil</c:v>
                </c:pt>
              </c:strCache>
            </c:strRef>
          </c:tx>
          <c:spPr>
            <a:ln w="28575" cap="rnd">
              <a:solidFill>
                <a:schemeClr val="accent3"/>
              </a:solidFill>
              <a:round/>
            </a:ln>
            <a:effectLst/>
          </c:spPr>
          <c:marker>
            <c:symbol val="none"/>
          </c:marker>
          <c:cat>
            <c:multiLvlStrRef>
              <c:f>Servicios!$A$3:$B$24</c:f>
              <c:multiLvlStrCache>
                <c:ptCount val="22"/>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pt idx="20">
                    <c:v>I</c:v>
                  </c:pt>
                  <c:pt idx="21">
                    <c:v>II</c:v>
                  </c:pt>
                </c:lvl>
                <c:lvl>
                  <c:pt idx="0">
                    <c:v>2021</c:v>
                  </c:pt>
                  <c:pt idx="4">
                    <c:v>2022</c:v>
                  </c:pt>
                  <c:pt idx="8">
                    <c:v>2023</c:v>
                  </c:pt>
                  <c:pt idx="12">
                    <c:v>2024</c:v>
                  </c:pt>
                  <c:pt idx="16">
                    <c:v>2025</c:v>
                  </c:pt>
                  <c:pt idx="20">
                    <c:v>2026</c:v>
                  </c:pt>
                </c:lvl>
              </c:multiLvlStrCache>
            </c:multiLvlStrRef>
          </c:cat>
          <c:val>
            <c:numRef>
              <c:f>Servicios!$E$3:$E$24</c:f>
              <c:numCache>
                <c:formatCode>0.0%</c:formatCode>
                <c:ptCount val="22"/>
                <c:pt idx="0">
                  <c:v>-1.3395739154770917E-2</c:v>
                </c:pt>
                <c:pt idx="1">
                  <c:v>-1.5402496484512668E-2</c:v>
                </c:pt>
                <c:pt idx="2">
                  <c:v>-1.5871487661633002E-2</c:v>
                </c:pt>
                <c:pt idx="3">
                  <c:v>-1.9686017452346664E-2</c:v>
                </c:pt>
                <c:pt idx="4">
                  <c:v>-2.0851133834426085E-2</c:v>
                </c:pt>
                <c:pt idx="5">
                  <c:v>-2.2463696471652275E-2</c:v>
                </c:pt>
                <c:pt idx="6">
                  <c:v>-2.1570542344405096E-2</c:v>
                </c:pt>
                <c:pt idx="7">
                  <c:v>-2.0864195307401284E-2</c:v>
                </c:pt>
                <c:pt idx="8">
                  <c:v>-1.8497967526694623E-2</c:v>
                </c:pt>
                <c:pt idx="9">
                  <c:v>-2.1196477092771178E-2</c:v>
                </c:pt>
                <c:pt idx="10">
                  <c:v>-1.894715772421068E-2</c:v>
                </c:pt>
                <c:pt idx="11">
                  <c:v>-2.0985644783753237E-2</c:v>
                </c:pt>
                <c:pt idx="12">
                  <c:v>-2.0002732843473078E-2</c:v>
                </c:pt>
                <c:pt idx="13">
                  <c:v>-2.3985542446217169E-2</c:v>
                </c:pt>
                <c:pt idx="14">
                  <c:v>-2.87336878663422E-2</c:v>
                </c:pt>
                <c:pt idx="15">
                  <c:v>-2.6973768780904933E-2</c:v>
                </c:pt>
                <c:pt idx="16">
                  <c:v>-2.4435867512882212E-2</c:v>
                </c:pt>
                <c:pt idx="17">
                  <c:v>-2.4154023082290796E-2</c:v>
                </c:pt>
                <c:pt idx="18">
                  <c:v>-2.3141032926330414E-2</c:v>
                </c:pt>
                <c:pt idx="19">
                  <c:v>-2.020814985693483E-2</c:v>
                </c:pt>
                <c:pt idx="20">
                  <c:v>-2.0023194768300199E-2</c:v>
                </c:pt>
                <c:pt idx="21">
                  <c:v>-2.3033488157566125E-2</c:v>
                </c:pt>
              </c:numCache>
            </c:numRef>
          </c:val>
          <c:smooth val="1"/>
          <c:extLst>
            <c:ext xmlns:c16="http://schemas.microsoft.com/office/drawing/2014/chart" uri="{C3380CC4-5D6E-409C-BE32-E72D297353CC}">
              <c16:uniqueId val="{00000002-EB0D-4818-94F7-590AF62AF096}"/>
            </c:ext>
          </c:extLst>
        </c:ser>
        <c:ser>
          <c:idx val="3"/>
          <c:order val="3"/>
          <c:tx>
            <c:strRef>
              <c:f>Servicios!$F$2</c:f>
              <c:strCache>
                <c:ptCount val="1"/>
                <c:pt idx="0">
                  <c:v>Mexico</c:v>
                </c:pt>
              </c:strCache>
            </c:strRef>
          </c:tx>
          <c:spPr>
            <a:ln w="28575" cap="rnd">
              <a:solidFill>
                <a:schemeClr val="accent4"/>
              </a:solidFill>
              <a:round/>
            </a:ln>
            <a:effectLst/>
          </c:spPr>
          <c:marker>
            <c:symbol val="none"/>
          </c:marker>
          <c:cat>
            <c:multiLvlStrRef>
              <c:f>Servicios!$A$3:$B$24</c:f>
              <c:multiLvlStrCache>
                <c:ptCount val="22"/>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pt idx="20">
                    <c:v>I</c:v>
                  </c:pt>
                  <c:pt idx="21">
                    <c:v>II</c:v>
                  </c:pt>
                </c:lvl>
                <c:lvl>
                  <c:pt idx="0">
                    <c:v>2021</c:v>
                  </c:pt>
                  <c:pt idx="4">
                    <c:v>2022</c:v>
                  </c:pt>
                  <c:pt idx="8">
                    <c:v>2023</c:v>
                  </c:pt>
                  <c:pt idx="12">
                    <c:v>2024</c:v>
                  </c:pt>
                  <c:pt idx="16">
                    <c:v>2025</c:v>
                  </c:pt>
                  <c:pt idx="20">
                    <c:v>2026</c:v>
                  </c:pt>
                </c:lvl>
              </c:multiLvlStrCache>
            </c:multiLvlStrRef>
          </c:cat>
          <c:val>
            <c:numRef>
              <c:f>Servicios!$F$3:$F$24</c:f>
              <c:numCache>
                <c:formatCode>0.0%</c:formatCode>
                <c:ptCount val="22"/>
                <c:pt idx="0">
                  <c:v>-1.2726499456603103E-2</c:v>
                </c:pt>
                <c:pt idx="1">
                  <c:v>-9.5315645675822236E-3</c:v>
                </c:pt>
                <c:pt idx="2">
                  <c:v>-7.5194779459522585E-3</c:v>
                </c:pt>
                <c:pt idx="3">
                  <c:v>-8.0866103068641115E-3</c:v>
                </c:pt>
                <c:pt idx="4">
                  <c:v>-9.0434581536132392E-3</c:v>
                </c:pt>
                <c:pt idx="5">
                  <c:v>-7.320951104138205E-3</c:v>
                </c:pt>
                <c:pt idx="6">
                  <c:v>-7.4967194143241581E-3</c:v>
                </c:pt>
                <c:pt idx="7">
                  <c:v>-8.3184760046567628E-3</c:v>
                </c:pt>
                <c:pt idx="8">
                  <c:v>-9.6047950953661605E-3</c:v>
                </c:pt>
                <c:pt idx="9">
                  <c:v>-1.0525641473429227E-2</c:v>
                </c:pt>
                <c:pt idx="10">
                  <c:v>-1.139889174924268E-2</c:v>
                </c:pt>
                <c:pt idx="11">
                  <c:v>-6.9951088924958202E-3</c:v>
                </c:pt>
                <c:pt idx="12">
                  <c:v>-1.5147891004256078E-3</c:v>
                </c:pt>
                <c:pt idx="13">
                  <c:v>-4.1040722121341716E-3</c:v>
                </c:pt>
                <c:pt idx="14">
                  <c:v>-1.0230810890553577E-2</c:v>
                </c:pt>
                <c:pt idx="15">
                  <c:v>-5.1473396034946248E-3</c:v>
                </c:pt>
                <c:pt idx="16">
                  <c:v>-2.2717929776100364E-4</c:v>
                </c:pt>
                <c:pt idx="17">
                  <c:v>-4.6335435754843784E-3</c:v>
                </c:pt>
                <c:pt idx="18">
                  <c:v>-1.1121882449129259E-2</c:v>
                </c:pt>
                <c:pt idx="19">
                  <c:v>-1.1102702974028858E-2</c:v>
                </c:pt>
                <c:pt idx="20">
                  <c:v>-3.126872862514324E-3</c:v>
                </c:pt>
                <c:pt idx="21">
                  <c:v>-8.2704734220872995E-3</c:v>
                </c:pt>
              </c:numCache>
            </c:numRef>
          </c:val>
          <c:smooth val="1"/>
          <c:extLst>
            <c:ext xmlns:c16="http://schemas.microsoft.com/office/drawing/2014/chart" uri="{C3380CC4-5D6E-409C-BE32-E72D297353CC}">
              <c16:uniqueId val="{00000003-EB0D-4818-94F7-590AF62AF096}"/>
            </c:ext>
          </c:extLst>
        </c:ser>
        <c:ser>
          <c:idx val="4"/>
          <c:order val="4"/>
          <c:tx>
            <c:strRef>
              <c:f>Servicios!$G$2</c:f>
              <c:strCache>
                <c:ptCount val="1"/>
                <c:pt idx="0">
                  <c:v>Peru</c:v>
                </c:pt>
              </c:strCache>
            </c:strRef>
          </c:tx>
          <c:spPr>
            <a:ln w="28575" cap="rnd">
              <a:solidFill>
                <a:schemeClr val="accent5"/>
              </a:solidFill>
              <a:round/>
            </a:ln>
            <a:effectLst/>
          </c:spPr>
          <c:marker>
            <c:symbol val="none"/>
          </c:marker>
          <c:cat>
            <c:multiLvlStrRef>
              <c:f>Servicios!$A$3:$B$24</c:f>
              <c:multiLvlStrCache>
                <c:ptCount val="22"/>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pt idx="16">
                    <c:v>I</c:v>
                  </c:pt>
                  <c:pt idx="17">
                    <c:v>II</c:v>
                  </c:pt>
                  <c:pt idx="18">
                    <c:v>III</c:v>
                  </c:pt>
                  <c:pt idx="19">
                    <c:v>IV</c:v>
                  </c:pt>
                  <c:pt idx="20">
                    <c:v>I</c:v>
                  </c:pt>
                  <c:pt idx="21">
                    <c:v>II</c:v>
                  </c:pt>
                </c:lvl>
                <c:lvl>
                  <c:pt idx="0">
                    <c:v>2021</c:v>
                  </c:pt>
                  <c:pt idx="4">
                    <c:v>2022</c:v>
                  </c:pt>
                  <c:pt idx="8">
                    <c:v>2023</c:v>
                  </c:pt>
                  <c:pt idx="12">
                    <c:v>2024</c:v>
                  </c:pt>
                  <c:pt idx="16">
                    <c:v>2025</c:v>
                  </c:pt>
                  <c:pt idx="20">
                    <c:v>2026</c:v>
                  </c:pt>
                </c:lvl>
              </c:multiLvlStrCache>
            </c:multiLvlStrRef>
          </c:cat>
          <c:val>
            <c:numRef>
              <c:f>Servicios!$G$3:$G$24</c:f>
              <c:numCache>
                <c:formatCode>0.0%</c:formatCode>
                <c:ptCount val="22"/>
                <c:pt idx="0">
                  <c:v>-2.9658728005982064E-2</c:v>
                </c:pt>
                <c:pt idx="1">
                  <c:v>-3.2535368177769773E-2</c:v>
                </c:pt>
                <c:pt idx="2">
                  <c:v>-3.6902377936746777E-2</c:v>
                </c:pt>
                <c:pt idx="3">
                  <c:v>-3.9266566374451972E-2</c:v>
                </c:pt>
                <c:pt idx="4">
                  <c:v>-3.9468968741999406E-2</c:v>
                </c:pt>
                <c:pt idx="5">
                  <c:v>-3.2866858077321759E-2</c:v>
                </c:pt>
                <c:pt idx="6">
                  <c:v>-3.7164118787387061E-2</c:v>
                </c:pt>
                <c:pt idx="7">
                  <c:v>-3.3964827349198985E-2</c:v>
                </c:pt>
                <c:pt idx="8">
                  <c:v>-3.4852573282491826E-2</c:v>
                </c:pt>
                <c:pt idx="9">
                  <c:v>-2.6307513698127578E-2</c:v>
                </c:pt>
                <c:pt idx="10">
                  <c:v>-2.6097459750270516E-2</c:v>
                </c:pt>
                <c:pt idx="11">
                  <c:v>-3.029025950307012E-2</c:v>
                </c:pt>
                <c:pt idx="12">
                  <c:v>-2.9368574752486252E-2</c:v>
                </c:pt>
                <c:pt idx="13">
                  <c:v>-2.2649867042000043E-2</c:v>
                </c:pt>
                <c:pt idx="14">
                  <c:v>-2.5058857706248092E-2</c:v>
                </c:pt>
                <c:pt idx="15">
                  <c:v>-3.0155887885737375E-2</c:v>
                </c:pt>
                <c:pt idx="16">
                  <c:v>-2.9307706821254713E-2</c:v>
                </c:pt>
                <c:pt idx="17">
                  <c:v>-2.0420338043149994E-2</c:v>
                </c:pt>
                <c:pt idx="18">
                  <c:v>-2.1445826583696256E-2</c:v>
                </c:pt>
                <c:pt idx="19">
                  <c:v>-2.5610459510544172E-2</c:v>
                </c:pt>
                <c:pt idx="20">
                  <c:v>-2.5481782527112962E-2</c:v>
                </c:pt>
                <c:pt idx="21">
                  <c:v>-2.2543089219226584E-2</c:v>
                </c:pt>
              </c:numCache>
            </c:numRef>
          </c:val>
          <c:smooth val="1"/>
          <c:extLst>
            <c:ext xmlns:c16="http://schemas.microsoft.com/office/drawing/2014/chart" uri="{C3380CC4-5D6E-409C-BE32-E72D297353CC}">
              <c16:uniqueId val="{00000004-EB0D-4818-94F7-590AF62AF096}"/>
            </c:ext>
          </c:extLst>
        </c:ser>
        <c:dLbls>
          <c:showLegendKey val="0"/>
          <c:showVal val="0"/>
          <c:showCatName val="0"/>
          <c:showSerName val="0"/>
          <c:showPercent val="0"/>
          <c:showBubbleSize val="0"/>
        </c:dLbls>
        <c:smooth val="0"/>
        <c:axId val="216049872"/>
        <c:axId val="48051008"/>
      </c:lineChart>
      <c:catAx>
        <c:axId val="21604987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51008"/>
        <c:crosses val="autoZero"/>
        <c:auto val="1"/>
        <c:lblAlgn val="ctr"/>
        <c:lblOffset val="100"/>
        <c:noMultiLvlLbl val="0"/>
      </c:catAx>
      <c:valAx>
        <c:axId val="48051008"/>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049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'Resumen CF'!$C$1</c:f>
              <c:strCache>
                <c:ptCount val="1"/>
                <c:pt idx="0">
                  <c:v>Inversión directa</c:v>
                </c:pt>
              </c:strCache>
            </c:strRef>
          </c:tx>
          <c:spPr>
            <a:solidFill>
              <a:schemeClr val="accent2"/>
            </a:solidFill>
            <a:ln>
              <a:noFill/>
            </a:ln>
            <a:effectLst/>
          </c:spPr>
          <c:invertIfNegative val="0"/>
          <c:cat>
            <c:multiLvlStrRef>
              <c:f>'Resumen CF'!$A$70:$B$83</c:f>
              <c:multiLvlStrCache>
                <c:ptCount val="14"/>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lvl>
                <c:lvl>
                  <c:pt idx="0">
                    <c:v>2022</c:v>
                  </c:pt>
                  <c:pt idx="4">
                    <c:v>2023</c:v>
                  </c:pt>
                  <c:pt idx="8">
                    <c:v>2025</c:v>
                  </c:pt>
                  <c:pt idx="12">
                    <c:v>2026</c:v>
                  </c:pt>
                </c:lvl>
              </c:multiLvlStrCache>
            </c:multiLvlStrRef>
          </c:cat>
          <c:val>
            <c:numRef>
              <c:f>'Resumen CF'!$C$70:$C$83</c:f>
              <c:numCache>
                <c:formatCode>General</c:formatCode>
                <c:ptCount val="14"/>
                <c:pt idx="0">
                  <c:v>-3650.5735209999998</c:v>
                </c:pt>
                <c:pt idx="1">
                  <c:v>-3660.5871059999999</c:v>
                </c:pt>
                <c:pt idx="2">
                  <c:v>-2958.9113550000002</c:v>
                </c:pt>
                <c:pt idx="3">
                  <c:v>-3528.6486420000001</c:v>
                </c:pt>
                <c:pt idx="4">
                  <c:v>-3600.4136250000001</c:v>
                </c:pt>
                <c:pt idx="5">
                  <c:v>-5441.7419250000003</c:v>
                </c:pt>
                <c:pt idx="6">
                  <c:v>-3334.7105759999999</c:v>
                </c:pt>
                <c:pt idx="7">
                  <c:v>-3148.039894</c:v>
                </c:pt>
                <c:pt idx="8">
                  <c:v>-179.205376</c:v>
                </c:pt>
                <c:pt idx="9">
                  <c:v>-1805.4007779999999</c:v>
                </c:pt>
                <c:pt idx="10">
                  <c:v>-1933.1520190000001</c:v>
                </c:pt>
                <c:pt idx="11">
                  <c:v>-1227.2837360000001</c:v>
                </c:pt>
                <c:pt idx="12">
                  <c:v>-3559.8765079999998</c:v>
                </c:pt>
                <c:pt idx="13">
                  <c:v>-3188.0963830000001</c:v>
                </c:pt>
              </c:numCache>
            </c:numRef>
          </c:val>
          <c:extLst>
            <c:ext xmlns:c16="http://schemas.microsoft.com/office/drawing/2014/chart" uri="{C3380CC4-5D6E-409C-BE32-E72D297353CC}">
              <c16:uniqueId val="{00000000-B103-1A49-A8CF-EED3066967C8}"/>
            </c:ext>
          </c:extLst>
        </c:ser>
        <c:ser>
          <c:idx val="1"/>
          <c:order val="1"/>
          <c:tx>
            <c:strRef>
              <c:f>'Resumen CF'!$D$1</c:f>
              <c:strCache>
                <c:ptCount val="1"/>
                <c:pt idx="0">
                  <c:v>Inversión de cartera</c:v>
                </c:pt>
              </c:strCache>
            </c:strRef>
          </c:tx>
          <c:spPr>
            <a:solidFill>
              <a:schemeClr val="accent6">
                <a:lumMod val="50000"/>
              </a:schemeClr>
            </a:solidFill>
            <a:ln>
              <a:noFill/>
            </a:ln>
            <a:effectLst/>
          </c:spPr>
          <c:invertIfNegative val="0"/>
          <c:cat>
            <c:multiLvlStrRef>
              <c:f>'Resumen CF'!$A$70:$B$83</c:f>
              <c:multiLvlStrCache>
                <c:ptCount val="14"/>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lvl>
                <c:lvl>
                  <c:pt idx="0">
                    <c:v>2022</c:v>
                  </c:pt>
                  <c:pt idx="4">
                    <c:v>2023</c:v>
                  </c:pt>
                  <c:pt idx="8">
                    <c:v>2025</c:v>
                  </c:pt>
                  <c:pt idx="12">
                    <c:v>2026</c:v>
                  </c:pt>
                </c:lvl>
              </c:multiLvlStrCache>
            </c:multiLvlStrRef>
          </c:cat>
          <c:val>
            <c:numRef>
              <c:f>'Resumen CF'!$D$70:$D$83</c:f>
              <c:numCache>
                <c:formatCode>General</c:formatCode>
                <c:ptCount val="14"/>
                <c:pt idx="0">
                  <c:v>1865.9167996000001</c:v>
                </c:pt>
                <c:pt idx="1">
                  <c:v>-759.03031510000005</c:v>
                </c:pt>
                <c:pt idx="2">
                  <c:v>-233.03538560000001</c:v>
                </c:pt>
                <c:pt idx="3">
                  <c:v>-446.84972670000002</c:v>
                </c:pt>
                <c:pt idx="4">
                  <c:v>1111.2809603000001</c:v>
                </c:pt>
                <c:pt idx="5">
                  <c:v>1519.8078743000001</c:v>
                </c:pt>
                <c:pt idx="6">
                  <c:v>4527.3294861000004</c:v>
                </c:pt>
                <c:pt idx="7">
                  <c:v>1504.3073412000001</c:v>
                </c:pt>
                <c:pt idx="8">
                  <c:v>1156.0469399000001</c:v>
                </c:pt>
                <c:pt idx="9">
                  <c:v>-3533.8960059999999</c:v>
                </c:pt>
                <c:pt idx="10">
                  <c:v>-4078.6354670000001</c:v>
                </c:pt>
                <c:pt idx="11">
                  <c:v>-1681.957339</c:v>
                </c:pt>
                <c:pt idx="12">
                  <c:v>-1031.6198159999999</c:v>
                </c:pt>
                <c:pt idx="13">
                  <c:v>6653.0493022000001</c:v>
                </c:pt>
              </c:numCache>
            </c:numRef>
          </c:val>
          <c:extLst>
            <c:ext xmlns:c16="http://schemas.microsoft.com/office/drawing/2014/chart" uri="{C3380CC4-5D6E-409C-BE32-E72D297353CC}">
              <c16:uniqueId val="{00000001-B103-1A49-A8CF-EED3066967C8}"/>
            </c:ext>
          </c:extLst>
        </c:ser>
        <c:ser>
          <c:idx val="2"/>
          <c:order val="2"/>
          <c:tx>
            <c:strRef>
              <c:f>'Resumen CF'!$E$1</c:f>
              <c:strCache>
                <c:ptCount val="1"/>
                <c:pt idx="0">
                  <c:v>Derivados financieros</c:v>
                </c:pt>
              </c:strCache>
            </c:strRef>
          </c:tx>
          <c:spPr>
            <a:solidFill>
              <a:schemeClr val="accent6"/>
            </a:solidFill>
            <a:ln>
              <a:noFill/>
            </a:ln>
            <a:effectLst/>
          </c:spPr>
          <c:invertIfNegative val="0"/>
          <c:cat>
            <c:multiLvlStrRef>
              <c:f>'Resumen CF'!$A$70:$B$83</c:f>
              <c:multiLvlStrCache>
                <c:ptCount val="14"/>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lvl>
                <c:lvl>
                  <c:pt idx="0">
                    <c:v>2022</c:v>
                  </c:pt>
                  <c:pt idx="4">
                    <c:v>2023</c:v>
                  </c:pt>
                  <c:pt idx="8">
                    <c:v>2025</c:v>
                  </c:pt>
                  <c:pt idx="12">
                    <c:v>2026</c:v>
                  </c:pt>
                </c:lvl>
              </c:multiLvlStrCache>
            </c:multiLvlStrRef>
          </c:cat>
          <c:val>
            <c:numRef>
              <c:f>'Resumen CF'!$E$70:$E$83</c:f>
              <c:numCache>
                <c:formatCode>General</c:formatCode>
                <c:ptCount val="14"/>
                <c:pt idx="0">
                  <c:v>-377.13607869999998</c:v>
                </c:pt>
                <c:pt idx="1">
                  <c:v>36.169823274000002</c:v>
                </c:pt>
                <c:pt idx="2">
                  <c:v>487.33717306</c:v>
                </c:pt>
                <c:pt idx="3">
                  <c:v>676.96965304000003</c:v>
                </c:pt>
                <c:pt idx="4">
                  <c:v>-248.37005310000001</c:v>
                </c:pt>
                <c:pt idx="5">
                  <c:v>-756.28899639999997</c:v>
                </c:pt>
                <c:pt idx="6">
                  <c:v>-690.52362960000005</c:v>
                </c:pt>
                <c:pt idx="7">
                  <c:v>-879.40544580000005</c:v>
                </c:pt>
                <c:pt idx="8">
                  <c:v>-422.282895</c:v>
                </c:pt>
                <c:pt idx="9">
                  <c:v>-448.318195</c:v>
                </c:pt>
                <c:pt idx="10">
                  <c:v>-398.30489499999999</c:v>
                </c:pt>
                <c:pt idx="11">
                  <c:v>-438.526095</c:v>
                </c:pt>
                <c:pt idx="12">
                  <c:v>-411.13329499999998</c:v>
                </c:pt>
                <c:pt idx="13">
                  <c:v>-804.40669500000001</c:v>
                </c:pt>
              </c:numCache>
            </c:numRef>
          </c:val>
          <c:extLst>
            <c:ext xmlns:c16="http://schemas.microsoft.com/office/drawing/2014/chart" uri="{C3380CC4-5D6E-409C-BE32-E72D297353CC}">
              <c16:uniqueId val="{00000002-B103-1A49-A8CF-EED3066967C8}"/>
            </c:ext>
          </c:extLst>
        </c:ser>
        <c:ser>
          <c:idx val="3"/>
          <c:order val="3"/>
          <c:tx>
            <c:strRef>
              <c:f>'Resumen CF'!$F$1</c:f>
              <c:strCache>
                <c:ptCount val="1"/>
                <c:pt idx="0">
                  <c:v>Otra inversión</c:v>
                </c:pt>
              </c:strCache>
            </c:strRef>
          </c:tx>
          <c:spPr>
            <a:solidFill>
              <a:schemeClr val="accent2">
                <a:lumMod val="60000"/>
              </a:schemeClr>
            </a:solidFill>
            <a:ln>
              <a:noFill/>
            </a:ln>
            <a:effectLst/>
          </c:spPr>
          <c:invertIfNegative val="0"/>
          <c:cat>
            <c:multiLvlStrRef>
              <c:f>'Resumen CF'!$A$70:$B$83</c:f>
              <c:multiLvlStrCache>
                <c:ptCount val="14"/>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lvl>
                <c:lvl>
                  <c:pt idx="0">
                    <c:v>2022</c:v>
                  </c:pt>
                  <c:pt idx="4">
                    <c:v>2023</c:v>
                  </c:pt>
                  <c:pt idx="8">
                    <c:v>2025</c:v>
                  </c:pt>
                  <c:pt idx="12">
                    <c:v>2026</c:v>
                  </c:pt>
                </c:lvl>
              </c:multiLvlStrCache>
            </c:multiLvlStrRef>
          </c:cat>
          <c:val>
            <c:numRef>
              <c:f>'Resumen CF'!$F$70:$F$83</c:f>
              <c:numCache>
                <c:formatCode>General</c:formatCode>
                <c:ptCount val="14"/>
                <c:pt idx="0">
                  <c:v>-3001.8772269999999</c:v>
                </c:pt>
                <c:pt idx="1">
                  <c:v>-642.40141700000004</c:v>
                </c:pt>
                <c:pt idx="2">
                  <c:v>-3190.5331310000001</c:v>
                </c:pt>
                <c:pt idx="3">
                  <c:v>-1653.3628659999999</c:v>
                </c:pt>
                <c:pt idx="4">
                  <c:v>-218.92539249999999</c:v>
                </c:pt>
                <c:pt idx="5">
                  <c:v>1579.9864915999999</c:v>
                </c:pt>
                <c:pt idx="6">
                  <c:v>-2335.7994560000002</c:v>
                </c:pt>
                <c:pt idx="7">
                  <c:v>844.61254584000005</c:v>
                </c:pt>
                <c:pt idx="8">
                  <c:v>-2443.940274</c:v>
                </c:pt>
                <c:pt idx="9">
                  <c:v>3370.4910522</c:v>
                </c:pt>
                <c:pt idx="10">
                  <c:v>3430.7170470000001</c:v>
                </c:pt>
                <c:pt idx="11">
                  <c:v>-405.64583379999999</c:v>
                </c:pt>
                <c:pt idx="12">
                  <c:v>3913.7157631999999</c:v>
                </c:pt>
                <c:pt idx="13">
                  <c:v>-6930.2241940000004</c:v>
                </c:pt>
              </c:numCache>
            </c:numRef>
          </c:val>
          <c:extLst>
            <c:ext xmlns:c16="http://schemas.microsoft.com/office/drawing/2014/chart" uri="{C3380CC4-5D6E-409C-BE32-E72D297353CC}">
              <c16:uniqueId val="{00000003-B103-1A49-A8CF-EED3066967C8}"/>
            </c:ext>
          </c:extLst>
        </c:ser>
        <c:ser>
          <c:idx val="4"/>
          <c:order val="4"/>
          <c:tx>
            <c:strRef>
              <c:f>'Resumen CF'!$G$1</c:f>
              <c:strCache>
                <c:ptCount val="1"/>
                <c:pt idx="0">
                  <c:v>Activos de reserva</c:v>
                </c:pt>
              </c:strCache>
            </c:strRef>
          </c:tx>
          <c:spPr>
            <a:solidFill>
              <a:schemeClr val="accent4">
                <a:lumMod val="60000"/>
              </a:schemeClr>
            </a:solidFill>
            <a:ln>
              <a:noFill/>
            </a:ln>
            <a:effectLst/>
          </c:spPr>
          <c:invertIfNegative val="0"/>
          <c:cat>
            <c:multiLvlStrRef>
              <c:f>'Resumen CF'!$A$70:$B$83</c:f>
              <c:multiLvlStrCache>
                <c:ptCount val="14"/>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lvl>
                <c:lvl>
                  <c:pt idx="0">
                    <c:v>2022</c:v>
                  </c:pt>
                  <c:pt idx="4">
                    <c:v>2023</c:v>
                  </c:pt>
                  <c:pt idx="8">
                    <c:v>2025</c:v>
                  </c:pt>
                  <c:pt idx="12">
                    <c:v>2026</c:v>
                  </c:pt>
                </c:lvl>
              </c:multiLvlStrCache>
            </c:multiLvlStrRef>
          </c:cat>
          <c:val>
            <c:numRef>
              <c:f>'Resumen CF'!$G$70:$G$83</c:f>
              <c:numCache>
                <c:formatCode>General</c:formatCode>
                <c:ptCount val="14"/>
                <c:pt idx="0">
                  <c:v>126.94617491</c:v>
                </c:pt>
                <c:pt idx="1">
                  <c:v>74.07856108</c:v>
                </c:pt>
                <c:pt idx="2">
                  <c:v>159.38365880999999</c:v>
                </c:pt>
                <c:pt idx="3">
                  <c:v>210.48249969</c:v>
                </c:pt>
                <c:pt idx="4">
                  <c:v>365.72011872000002</c:v>
                </c:pt>
                <c:pt idx="5">
                  <c:v>399.08935855999999</c:v>
                </c:pt>
                <c:pt idx="6">
                  <c:v>457.47194811000003</c:v>
                </c:pt>
                <c:pt idx="7">
                  <c:v>496.10652671999998</c:v>
                </c:pt>
                <c:pt idx="8">
                  <c:v>563.57734721999998</c:v>
                </c:pt>
                <c:pt idx="9">
                  <c:v>524.58469700000001</c:v>
                </c:pt>
                <c:pt idx="10">
                  <c:v>534.16449928999998</c:v>
                </c:pt>
                <c:pt idx="11">
                  <c:v>542.91344924999999</c:v>
                </c:pt>
                <c:pt idx="12">
                  <c:v>542.89028422000001</c:v>
                </c:pt>
                <c:pt idx="13">
                  <c:v>550.33522978999997</c:v>
                </c:pt>
              </c:numCache>
            </c:numRef>
          </c:val>
          <c:extLst>
            <c:ext xmlns:c16="http://schemas.microsoft.com/office/drawing/2014/chart" uri="{C3380CC4-5D6E-409C-BE32-E72D297353CC}">
              <c16:uniqueId val="{00000004-B103-1A49-A8CF-EED3066967C8}"/>
            </c:ext>
          </c:extLst>
        </c:ser>
        <c:dLbls>
          <c:showLegendKey val="0"/>
          <c:showVal val="0"/>
          <c:showCatName val="0"/>
          <c:showSerName val="0"/>
          <c:showPercent val="0"/>
          <c:showBubbleSize val="0"/>
        </c:dLbls>
        <c:gapWidth val="150"/>
        <c:overlap val="100"/>
        <c:axId val="1010543216"/>
        <c:axId val="1102818736"/>
      </c:barChart>
      <c:lineChart>
        <c:grouping val="standard"/>
        <c:varyColors val="0"/>
        <c:ser>
          <c:idx val="5"/>
          <c:order val="5"/>
          <c:tx>
            <c:strRef>
              <c:f>'Resumen CF'!$H$1</c:f>
              <c:strCache>
                <c:ptCount val="1"/>
                <c:pt idx="0">
                  <c:v>Cuenta Financiera  (% PIB)</c:v>
                </c:pt>
              </c:strCache>
            </c:strRef>
          </c:tx>
          <c:spPr>
            <a:ln w="28575" cap="rnd">
              <a:solidFill>
                <a:schemeClr val="tx1"/>
              </a:solidFill>
              <a:round/>
            </a:ln>
            <a:effectLst/>
          </c:spPr>
          <c:marker>
            <c:symbol val="none"/>
          </c:marker>
          <c:dLbls>
            <c:dLbl>
              <c:idx val="4"/>
              <c:layout>
                <c:manualLayout>
                  <c:x val="0"/>
                  <c:y val="1.47297098247164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103-1A49-A8CF-EED3066967C8}"/>
                </c:ext>
              </c:extLst>
            </c:dLbl>
            <c:dLbl>
              <c:idx val="6"/>
              <c:layout>
                <c:manualLayout>
                  <c:x val="2.1367521367520585E-3"/>
                  <c:y val="8.837825894829872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103-1A49-A8CF-EED3066967C8}"/>
                </c:ext>
              </c:extLst>
            </c:dLbl>
            <c:dLbl>
              <c:idx val="7"/>
              <c:layout>
                <c:manualLayout>
                  <c:x val="-4.0598290598290676E-2"/>
                  <c:y val="-2.06215937546030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103-1A49-A8CF-EED3066967C8}"/>
                </c:ext>
              </c:extLst>
            </c:dLbl>
            <c:dLbl>
              <c:idx val="8"/>
              <c:layout>
                <c:manualLayout>
                  <c:x val="-4.7008547008547008E-2"/>
                  <c:y val="-2.356753571954637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103-1A49-A8CF-EED3066967C8}"/>
                </c:ext>
              </c:extLst>
            </c:dLbl>
            <c:dLbl>
              <c:idx val="9"/>
              <c:layout>
                <c:manualLayout>
                  <c:x val="-1.282051282051282E-2"/>
                  <c:y val="-2.35675357195463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103-1A49-A8CF-EED3066967C8}"/>
                </c:ext>
              </c:extLst>
            </c:dLbl>
            <c:dLbl>
              <c:idx val="10"/>
              <c:layout>
                <c:manualLayout>
                  <c:x val="-1.5669334656024605E-16"/>
                  <c:y val="-8.837825894829872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103-1A49-A8CF-EED3066967C8}"/>
                </c:ext>
              </c:extLst>
            </c:dLbl>
            <c:spPr>
              <a:noFill/>
              <a:ln>
                <a:noFill/>
              </a:ln>
              <a:effectLst/>
            </c:spPr>
            <c:txPr>
              <a:bodyPr rot="0" spcFirstLastPara="1" vertOverflow="ellipsis" vert="horz" wrap="square" lIns="38100" tIns="19050" rIns="38100" bIns="19050" anchor="ctr" anchorCtr="1">
                <a:spAutoFit/>
              </a:bodyPr>
              <a:lstStyle/>
              <a:p>
                <a:pPr>
                  <a:defRPr lang="en-US" sz="9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'Resumen CF'!$A$70:$B$83</c:f>
              <c:multiLvlStrCache>
                <c:ptCount val="14"/>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lvl>
                <c:lvl>
                  <c:pt idx="0">
                    <c:v>2022</c:v>
                  </c:pt>
                  <c:pt idx="4">
                    <c:v>2023</c:v>
                  </c:pt>
                  <c:pt idx="8">
                    <c:v>2025</c:v>
                  </c:pt>
                  <c:pt idx="12">
                    <c:v>2026</c:v>
                  </c:pt>
                </c:lvl>
              </c:multiLvlStrCache>
            </c:multiLvlStrRef>
          </c:cat>
          <c:val>
            <c:numRef>
              <c:f>'Resumen CF'!$H$70:$H$83</c:f>
              <c:numCache>
                <c:formatCode>0.0%</c:formatCode>
                <c:ptCount val="14"/>
                <c:pt idx="0">
                  <c:v>-5.8474078918873747E-2</c:v>
                </c:pt>
                <c:pt idx="1">
                  <c:v>-5.4768992101604158E-2</c:v>
                </c:pt>
                <c:pt idx="2">
                  <c:v>-6.5300492015498784E-2</c:v>
                </c:pt>
                <c:pt idx="3">
                  <c:v>-5.7775181386638938E-2</c:v>
                </c:pt>
                <c:pt idx="4">
                  <c:v>-3.1902899165285992E-2</c:v>
                </c:pt>
                <c:pt idx="5">
                  <c:v>-3.1225764186565849E-2</c:v>
                </c:pt>
                <c:pt idx="6">
                  <c:v>-1.3856307081035329E-2</c:v>
                </c:pt>
                <c:pt idx="7">
                  <c:v>-1.1567905470794559E-2</c:v>
                </c:pt>
                <c:pt idx="8">
                  <c:v>-1.244576471757408E-2</c:v>
                </c:pt>
                <c:pt idx="9">
                  <c:v>-1.801475890649867E-2</c:v>
                </c:pt>
                <c:pt idx="10">
                  <c:v>-2.049900193173471E-2</c:v>
                </c:pt>
                <c:pt idx="11">
                  <c:v>-2.515169703643903E-2</c:v>
                </c:pt>
                <c:pt idx="12">
                  <c:v>-4.2456675817217106E-3</c:v>
                </c:pt>
                <c:pt idx="13">
                  <c:v>-2.7611591004751669E-2</c:v>
                </c:pt>
              </c:numCache>
            </c:numRef>
          </c:val>
          <c:smooth val="0"/>
          <c:extLst>
            <c:ext xmlns:c16="http://schemas.microsoft.com/office/drawing/2014/chart" uri="{C3380CC4-5D6E-409C-BE32-E72D297353CC}">
              <c16:uniqueId val="{0000000B-B103-1A49-A8CF-EED3066967C8}"/>
            </c:ext>
          </c:extLst>
        </c:ser>
        <c:dLbls>
          <c:showLegendKey val="0"/>
          <c:showVal val="0"/>
          <c:showCatName val="0"/>
          <c:showSerName val="0"/>
          <c:showPercent val="0"/>
          <c:showBubbleSize val="0"/>
        </c:dLbls>
        <c:marker val="1"/>
        <c:smooth val="0"/>
        <c:axId val="2024638784"/>
        <c:axId val="1103398912"/>
      </c:lineChart>
      <c:catAx>
        <c:axId val="1010543216"/>
        <c:scaling>
          <c:orientation val="minMax"/>
        </c:scaling>
        <c:delete val="0"/>
        <c:axPos val="b"/>
        <c:numFmt formatCode="#,##0.00" sourceLinked="0"/>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en-US"/>
          </a:p>
        </c:txPr>
        <c:crossAx val="1102818736"/>
        <c:crosses val="autoZero"/>
        <c:auto val="1"/>
        <c:lblAlgn val="ctr"/>
        <c:lblOffset val="100"/>
        <c:noMultiLvlLbl val="0"/>
      </c:catAx>
      <c:valAx>
        <c:axId val="11028187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010543216"/>
        <c:crossesAt val="1"/>
        <c:crossBetween val="between"/>
      </c:valAx>
      <c:valAx>
        <c:axId val="1103398912"/>
        <c:scaling>
          <c:orientation val="minMax"/>
          <c:max val="6.7000000000000018E-2"/>
          <c:min val="-8.0000000000000016E-2"/>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024638784"/>
        <c:crosses val="max"/>
        <c:crossBetween val="between"/>
        <c:majorUnit val="2.0000000000000004E-2"/>
      </c:valAx>
      <c:catAx>
        <c:axId val="2024638784"/>
        <c:scaling>
          <c:orientation val="minMax"/>
        </c:scaling>
        <c:delete val="1"/>
        <c:axPos val="b"/>
        <c:numFmt formatCode="General" sourceLinked="1"/>
        <c:majorTickMark val="out"/>
        <c:minorTickMark val="none"/>
        <c:tickLblPos val="nextTo"/>
        <c:crossAx val="1103398912"/>
        <c:crosses val="autoZero"/>
        <c:auto val="1"/>
        <c:lblAlgn val="ctr"/>
        <c:lblOffset val="100"/>
        <c:noMultiLvlLbl val="0"/>
      </c:catAx>
      <c:spPr>
        <a:noFill/>
        <a:ln w="25400">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ctr">
        <a:defRPr lang="en-US" sz="1000" b="0" i="0" u="none" strike="noStrike" kern="1200" baseline="0">
          <a:solidFill>
            <a:schemeClr val="tx1"/>
          </a:solidFill>
          <a:latin typeface="+mn-lt"/>
          <a:ea typeface="+mn-ea"/>
          <a:cs typeface="+mn-cs"/>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FDI!$I$29</c:f>
              <c:strCache>
                <c:ptCount val="1"/>
                <c:pt idx="0">
                  <c:v>Colombia</c:v>
                </c:pt>
              </c:strCache>
            </c:strRef>
          </c:tx>
          <c:spPr>
            <a:solidFill>
              <a:schemeClr val="accent1"/>
            </a:solidFill>
            <a:ln>
              <a:noFill/>
            </a:ln>
            <a:effectLst/>
          </c:spPr>
          <c:invertIfNegative val="0"/>
          <c:cat>
            <c:strRef>
              <c:f>FDI!$H$30:$H$34</c:f>
              <c:strCache>
                <c:ptCount val="5"/>
                <c:pt idx="0">
                  <c:v>2022</c:v>
                </c:pt>
                <c:pt idx="1">
                  <c:v>2023</c:v>
                </c:pt>
                <c:pt idx="2">
                  <c:v>2024</c:v>
                </c:pt>
                <c:pt idx="3">
                  <c:v>2025</c:v>
                </c:pt>
                <c:pt idx="4">
                  <c:v>2026*</c:v>
                </c:pt>
              </c:strCache>
            </c:strRef>
          </c:cat>
          <c:val>
            <c:numRef>
              <c:f>FDI!$I$30:$I$34</c:f>
              <c:numCache>
                <c:formatCode>0.0%</c:formatCode>
                <c:ptCount val="5"/>
                <c:pt idx="0">
                  <c:v>4.9594985296340557E-2</c:v>
                </c:pt>
                <c:pt idx="1">
                  <c:v>4.5488832999488027E-2</c:v>
                </c:pt>
                <c:pt idx="2">
                  <c:v>3.2559583950730955E-2</c:v>
                </c:pt>
                <c:pt idx="3">
                  <c:v>2.5171419219373138E-2</c:v>
                </c:pt>
                <c:pt idx="4">
                  <c:v>3.0905979045833878E-2</c:v>
                </c:pt>
              </c:numCache>
            </c:numRef>
          </c:val>
          <c:extLst>
            <c:ext xmlns:c16="http://schemas.microsoft.com/office/drawing/2014/chart" uri="{C3380CC4-5D6E-409C-BE32-E72D297353CC}">
              <c16:uniqueId val="{00000000-F40C-48FB-A6AD-32C05F3DE4A1}"/>
            </c:ext>
          </c:extLst>
        </c:ser>
        <c:ser>
          <c:idx val="1"/>
          <c:order val="1"/>
          <c:tx>
            <c:strRef>
              <c:f>FDI!$J$29</c:f>
              <c:strCache>
                <c:ptCount val="1"/>
                <c:pt idx="0">
                  <c:v>Chile</c:v>
                </c:pt>
              </c:strCache>
            </c:strRef>
          </c:tx>
          <c:spPr>
            <a:solidFill>
              <a:schemeClr val="accent2"/>
            </a:solidFill>
            <a:ln>
              <a:noFill/>
            </a:ln>
            <a:effectLst/>
          </c:spPr>
          <c:invertIfNegative val="0"/>
          <c:cat>
            <c:strRef>
              <c:f>FDI!$H$30:$H$34</c:f>
              <c:strCache>
                <c:ptCount val="5"/>
                <c:pt idx="0">
                  <c:v>2022</c:v>
                </c:pt>
                <c:pt idx="1">
                  <c:v>2023</c:v>
                </c:pt>
                <c:pt idx="2">
                  <c:v>2024</c:v>
                </c:pt>
                <c:pt idx="3">
                  <c:v>2025</c:v>
                </c:pt>
                <c:pt idx="4">
                  <c:v>2026*</c:v>
                </c:pt>
              </c:strCache>
            </c:strRef>
          </c:cat>
          <c:val>
            <c:numRef>
              <c:f>FDI!$J$30:$J$34</c:f>
              <c:numCache>
                <c:formatCode>0.0%</c:formatCode>
                <c:ptCount val="5"/>
                <c:pt idx="0">
                  <c:v>6.2233650401088497E-2</c:v>
                </c:pt>
                <c:pt idx="1">
                  <c:v>5.7173643089242596E-2</c:v>
                </c:pt>
                <c:pt idx="2">
                  <c:v>3.9824123141497497E-2</c:v>
                </c:pt>
                <c:pt idx="3">
                  <c:v>4.058167615822398E-2</c:v>
                </c:pt>
                <c:pt idx="4">
                  <c:v>4.0726569848236152E-2</c:v>
                </c:pt>
              </c:numCache>
            </c:numRef>
          </c:val>
          <c:extLst>
            <c:ext xmlns:c16="http://schemas.microsoft.com/office/drawing/2014/chart" uri="{C3380CC4-5D6E-409C-BE32-E72D297353CC}">
              <c16:uniqueId val="{00000001-F40C-48FB-A6AD-32C05F3DE4A1}"/>
            </c:ext>
          </c:extLst>
        </c:ser>
        <c:ser>
          <c:idx val="2"/>
          <c:order val="2"/>
          <c:tx>
            <c:strRef>
              <c:f>FDI!$K$29</c:f>
              <c:strCache>
                <c:ptCount val="1"/>
                <c:pt idx="0">
                  <c:v>Brazil</c:v>
                </c:pt>
              </c:strCache>
            </c:strRef>
          </c:tx>
          <c:spPr>
            <a:solidFill>
              <a:schemeClr val="accent3"/>
            </a:solidFill>
            <a:ln>
              <a:noFill/>
            </a:ln>
            <a:effectLst/>
          </c:spPr>
          <c:invertIfNegative val="0"/>
          <c:cat>
            <c:strRef>
              <c:f>FDI!$H$30:$H$34</c:f>
              <c:strCache>
                <c:ptCount val="5"/>
                <c:pt idx="0">
                  <c:v>2022</c:v>
                </c:pt>
                <c:pt idx="1">
                  <c:v>2023</c:v>
                </c:pt>
                <c:pt idx="2">
                  <c:v>2024</c:v>
                </c:pt>
                <c:pt idx="3">
                  <c:v>2025</c:v>
                </c:pt>
                <c:pt idx="4">
                  <c:v>2026*</c:v>
                </c:pt>
              </c:strCache>
            </c:strRef>
          </c:cat>
          <c:val>
            <c:numRef>
              <c:f>FDI!$K$30:$K$34</c:f>
              <c:numCache>
                <c:formatCode>0.0%</c:formatCode>
                <c:ptCount val="5"/>
                <c:pt idx="0">
                  <c:v>3.8687293491252175E-2</c:v>
                </c:pt>
                <c:pt idx="1">
                  <c:v>2.9735480281470803E-2</c:v>
                </c:pt>
                <c:pt idx="2">
                  <c:v>3.3911589159295354E-2</c:v>
                </c:pt>
                <c:pt idx="3">
                  <c:v>3.728560219806356E-2</c:v>
                </c:pt>
                <c:pt idx="4">
                  <c:v>3.860563262199157E-2</c:v>
                </c:pt>
              </c:numCache>
            </c:numRef>
          </c:val>
          <c:extLst>
            <c:ext xmlns:c16="http://schemas.microsoft.com/office/drawing/2014/chart" uri="{C3380CC4-5D6E-409C-BE32-E72D297353CC}">
              <c16:uniqueId val="{00000002-F40C-48FB-A6AD-32C05F3DE4A1}"/>
            </c:ext>
          </c:extLst>
        </c:ser>
        <c:ser>
          <c:idx val="3"/>
          <c:order val="3"/>
          <c:tx>
            <c:strRef>
              <c:f>FDI!$L$29</c:f>
              <c:strCache>
                <c:ptCount val="1"/>
                <c:pt idx="0">
                  <c:v>Mexico</c:v>
                </c:pt>
              </c:strCache>
            </c:strRef>
          </c:tx>
          <c:spPr>
            <a:solidFill>
              <a:schemeClr val="accent4"/>
            </a:solidFill>
            <a:ln>
              <a:noFill/>
            </a:ln>
            <a:effectLst/>
          </c:spPr>
          <c:invertIfNegative val="0"/>
          <c:cat>
            <c:strRef>
              <c:f>FDI!$H$30:$H$34</c:f>
              <c:strCache>
                <c:ptCount val="5"/>
                <c:pt idx="0">
                  <c:v>2022</c:v>
                </c:pt>
                <c:pt idx="1">
                  <c:v>2023</c:v>
                </c:pt>
                <c:pt idx="2">
                  <c:v>2024</c:v>
                </c:pt>
                <c:pt idx="3">
                  <c:v>2025</c:v>
                </c:pt>
                <c:pt idx="4">
                  <c:v>2026*</c:v>
                </c:pt>
              </c:strCache>
            </c:strRef>
          </c:cat>
          <c:val>
            <c:numRef>
              <c:f>FDI!$L$30:$L$34</c:f>
              <c:numCache>
                <c:formatCode>0.0%</c:formatCode>
                <c:ptCount val="5"/>
                <c:pt idx="0">
                  <c:v>2.6700568854083992E-2</c:v>
                </c:pt>
                <c:pt idx="1">
                  <c:v>1.7065791042016953E-2</c:v>
                </c:pt>
                <c:pt idx="2">
                  <c:v>2.4760839262510031E-2</c:v>
                </c:pt>
                <c:pt idx="3">
                  <c:v>2.4199525447024896E-2</c:v>
                </c:pt>
                <c:pt idx="4">
                  <c:v>3.3510305884450316E-2</c:v>
                </c:pt>
              </c:numCache>
            </c:numRef>
          </c:val>
          <c:extLst>
            <c:ext xmlns:c16="http://schemas.microsoft.com/office/drawing/2014/chart" uri="{C3380CC4-5D6E-409C-BE32-E72D297353CC}">
              <c16:uniqueId val="{00000003-F40C-48FB-A6AD-32C05F3DE4A1}"/>
            </c:ext>
          </c:extLst>
        </c:ser>
        <c:ser>
          <c:idx val="4"/>
          <c:order val="4"/>
          <c:tx>
            <c:strRef>
              <c:f>FDI!$M$29</c:f>
              <c:strCache>
                <c:ptCount val="1"/>
                <c:pt idx="0">
                  <c:v>Peru</c:v>
                </c:pt>
              </c:strCache>
            </c:strRef>
          </c:tx>
          <c:spPr>
            <a:solidFill>
              <a:schemeClr val="accent5"/>
            </a:solidFill>
            <a:ln>
              <a:noFill/>
            </a:ln>
            <a:effectLst/>
          </c:spPr>
          <c:invertIfNegative val="0"/>
          <c:cat>
            <c:strRef>
              <c:f>FDI!$H$30:$H$34</c:f>
              <c:strCache>
                <c:ptCount val="5"/>
                <c:pt idx="0">
                  <c:v>2022</c:v>
                </c:pt>
                <c:pt idx="1">
                  <c:v>2023</c:v>
                </c:pt>
                <c:pt idx="2">
                  <c:v>2024</c:v>
                </c:pt>
                <c:pt idx="3">
                  <c:v>2025</c:v>
                </c:pt>
                <c:pt idx="4">
                  <c:v>2026*</c:v>
                </c:pt>
              </c:strCache>
            </c:strRef>
          </c:cat>
          <c:val>
            <c:numRef>
              <c:f>FDI!$M$30:$M$34</c:f>
              <c:numCache>
                <c:formatCode>0.0%</c:formatCode>
                <c:ptCount val="5"/>
                <c:pt idx="0">
                  <c:v>4.5897059508668479E-2</c:v>
                </c:pt>
                <c:pt idx="1">
                  <c:v>1.6188972408092698E-2</c:v>
                </c:pt>
                <c:pt idx="2">
                  <c:v>2.2687544735334055E-2</c:v>
                </c:pt>
                <c:pt idx="3">
                  <c:v>3.0324471917618015E-2</c:v>
                </c:pt>
                <c:pt idx="4">
                  <c:v>3.9731057912265617E-2</c:v>
                </c:pt>
              </c:numCache>
            </c:numRef>
          </c:val>
          <c:extLst>
            <c:ext xmlns:c16="http://schemas.microsoft.com/office/drawing/2014/chart" uri="{C3380CC4-5D6E-409C-BE32-E72D297353CC}">
              <c16:uniqueId val="{00000004-F40C-48FB-A6AD-32C05F3DE4A1}"/>
            </c:ext>
          </c:extLst>
        </c:ser>
        <c:dLbls>
          <c:showLegendKey val="0"/>
          <c:showVal val="0"/>
          <c:showCatName val="0"/>
          <c:showSerName val="0"/>
          <c:showPercent val="0"/>
          <c:showBubbleSize val="0"/>
        </c:dLbls>
        <c:gapWidth val="219"/>
        <c:overlap val="-27"/>
        <c:axId val="1692462591"/>
        <c:axId val="1572194975"/>
      </c:barChart>
      <c:catAx>
        <c:axId val="1692462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2194975"/>
        <c:crosses val="autoZero"/>
        <c:auto val="1"/>
        <c:lblAlgn val="ctr"/>
        <c:lblOffset val="100"/>
        <c:noMultiLvlLbl val="0"/>
      </c:catAx>
      <c:valAx>
        <c:axId val="1572194975"/>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2462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Personalizado 1">
      <a:dk1>
        <a:sysClr val="windowText" lastClr="000000"/>
      </a:dk1>
      <a:lt1>
        <a:sysClr val="window" lastClr="FFFFFF"/>
      </a:lt1>
      <a:dk2>
        <a:srgbClr val="0E2841"/>
      </a:dk2>
      <a:lt2>
        <a:srgbClr val="E8E8E8"/>
      </a:lt2>
      <a:accent1>
        <a:srgbClr val="E83B3B"/>
      </a:accent1>
      <a:accent2>
        <a:srgbClr val="8BC5CC"/>
      </a:accent2>
      <a:accent3>
        <a:srgbClr val="3166AF"/>
      </a:accent3>
      <a:accent4>
        <a:srgbClr val="1D1D1B"/>
      </a:accent4>
      <a:accent5>
        <a:srgbClr val="F18979"/>
      </a:accent5>
      <a:accent6>
        <a:srgbClr val="9EA9D6"/>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F6BCE-D726-482A-920C-7325CA2E0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2226</Words>
  <Characters>12243</Characters>
  <Application>Microsoft Office Word</Application>
  <DocSecurity>0</DocSecurity>
  <Lines>102</Lines>
  <Paragraphs>28</Paragraphs>
  <ScaleCrop>false</ScaleCrop>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Espinal Valencia</dc:creator>
  <cp:keywords/>
  <dc:description/>
  <cp:lastModifiedBy>Mariana Diaz Silva</cp:lastModifiedBy>
  <cp:revision>2</cp:revision>
  <dcterms:created xsi:type="dcterms:W3CDTF">2026-10-07T22:44:00Z</dcterms:created>
  <dcterms:modified xsi:type="dcterms:W3CDTF">2026-10-07T22:44:00Z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7eca25f5-707b-4906-b3a1-f28afb3303a2</vt:lpwstr>
  </property>
</Properties>
</file>