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1F17F6" w14:textId="7D914560" w:rsidR="00AF181A" w:rsidRPr="003F0C7E" w:rsidRDefault="00AF181A" w:rsidP="00AF181A">
      <w:pPr>
        <w:contextualSpacing/>
        <w:jc w:val="both"/>
        <w:rPr>
          <w:rFonts w:ascii="Arial" w:hAnsi="Arial" w:cs="Arial"/>
          <w:b/>
          <w:lang w:val="es-ES"/>
        </w:rPr>
      </w:pPr>
      <w:r>
        <w:rPr>
          <w:rFonts w:ascii="Arial" w:hAnsi="Arial" w:cs="Arial"/>
          <w:b/>
          <w:lang w:val="es-ES"/>
        </w:rPr>
        <w:t xml:space="preserve">Balanza de Pagos, </w:t>
      </w:r>
    </w:p>
    <w:p w14:paraId="09C07397" w14:textId="77777777" w:rsidR="00AF181A" w:rsidRPr="003F0C7E" w:rsidRDefault="00AF181A" w:rsidP="00B33D70">
      <w:pPr>
        <w:spacing w:line="276" w:lineRule="auto"/>
        <w:rPr>
          <w:rFonts w:ascii="Arial" w:hAnsi="Arial" w:cs="Arial"/>
          <w:bCs/>
          <w:lang w:val="es-ES"/>
        </w:rPr>
      </w:pPr>
    </w:p>
    <w:p w14:paraId="760568A6" w14:textId="5F761EC8" w:rsidR="00923BDC" w:rsidRPr="003F0C7E" w:rsidRDefault="00923BDC" w:rsidP="00B33D70">
      <w:pPr>
        <w:spacing w:line="276" w:lineRule="auto"/>
        <w:rPr>
          <w:rFonts w:ascii="Arial" w:hAnsi="Arial" w:cs="Arial"/>
          <w:bCs/>
          <w:lang w:val="es-ES"/>
        </w:rPr>
      </w:pPr>
      <w:r>
        <w:rPr>
          <w:rFonts w:ascii="Arial" w:hAnsi="Arial" w:cs="Arial"/>
          <w:bCs/>
          <w:lang w:val="es-ES"/>
        </w:rPr>
        <w:t xml:space="preserve">Miguel Espinal Valencia </w:t>
      </w:r>
      <w:r>
        <w:rPr>
          <mc:AlternateContent>
            <mc:Choice Requires="w16se">
              <w:rFonts w:ascii="Arial" w:hAnsi="Arial" w:cs="Arial"/>
            </mc:Choice>
            <mc:Fallback>
              <w:rFonts w:ascii="Apple Color Emoji" w:eastAsia="Apple Color Emoji" w:hAnsi="Apple Color Emoji" w:cs="Apple Color Emoji"/>
            </mc:Fallback>
          </mc:AlternateContent>
          <w:bCs/>
          <w:lang w:val="es-ES"/>
        </w:rPr>
        <mc:AlternateContent>
          <mc:Choice Requires="w16se">
            <w16se:symEx w16se:font="Apple Color Emoji" w16se:char="1F62D"/>
          </mc:Choice>
          <mc:Fallback>
            <w:t>😭</w:t>
          </mc:Fallback>
        </mc:AlternateContent>
      </w:r>
      <w:r>
        <w:rPr>
          <w:rFonts w:ascii="Arial" w:hAnsi="Arial" w:cs="Arial"/>
          <w:bCs/>
          <w:lang w:val="es-ES"/>
        </w:rPr>
        <w:t xml:space="preserve"> (loeztraño)</w:t>
      </w:r>
    </w:p>
    <w:p w14:paraId="488C8C42" w14:textId="77777777" w:rsidR="00923BDC" w:rsidRPr="003F0C7E" w:rsidRDefault="00923BDC" w:rsidP="00B33D70">
      <w:pPr>
        <w:spacing w:line="276" w:lineRule="auto"/>
        <w:rPr>
          <w:rFonts w:ascii="Arial" w:hAnsi="Arial" w:cs="Arial"/>
          <w:bCs/>
          <w:lang w:val="es-ES"/>
        </w:rPr>
      </w:pPr>
      <w:r>
        <w:rPr>
          <w:rFonts w:ascii="Arial" w:hAnsi="Arial" w:cs="Arial"/>
          <w:bCs/>
          <w:lang w:val="es-ES"/>
        </w:rPr>
        <w:t>Jerónimo Salazar Aguirre</w:t>
      </w:r>
    </w:p>
    <w:p w14:paraId="379D9748" w14:textId="02B24AA3" w:rsidR="00B474C1" w:rsidRPr="0096081C" w:rsidRDefault="00B474C1" w:rsidP="00B33D70">
      <w:pPr>
        <w:spacing w:line="276" w:lineRule="auto"/>
        <w:rPr>
          <w:rFonts w:ascii="Arial" w:hAnsi="Arial" w:cs="Arial"/>
          <w:bCs/>
          <w:lang w:val="es-ES"/>
        </w:rPr>
      </w:pPr>
      <w:r>
        <w:rPr>
          <w:rFonts w:ascii="Arial" w:hAnsi="Arial" w:cs="Arial"/>
          <w:bCs/>
          <w:lang w:val="es-ES"/>
        </w:rPr>
        <w:t>Santiago Tupaz Ramírez</w:t>
      </w:r>
    </w:p>
    <w:p>
      <w:pPr>
        <w:pStyle w:val="NormalWeb"/>
        <w:spacing w:before="240" w:beforeAutospacing="0" w:after="240" w:afterAutospacing="0" w:line="276" w:lineRule="auto"/>
        <w:rPr>
          <w:rFonts w:ascii="Arial" w:hAnsi="Arial" w:cs="Arial"/>
          <w:b/>
          <w:bCs/>
          <w:color w:val="000000"/>
          <w:sz w:val="22"/>
          <w:szCs w:val="22"/>
          <w:lang w:val="es-ES"/>
        </w:rPr>
      </w:pPr>
      <w:r>
        <w:rPr>
          <w:rFonts w:ascii="Arial" w:hAnsi="Arial" w:cs="Arial"/>
          <w:b/>
          <w:bCs/>
          <w:color w:val="000000"/>
          <w:sz w:val="22"/>
          <w:szCs w:val="22"/>
          <w:lang w:val="es-ES"/>
        </w:rPr>
        <w:t>Cuenta Corriente cierre del segundo semestre del año 2025</w:t>
      </w:r>
    </w:p>
    <w:p>
      <w:pPr>
        <w:pStyle w:val="NormalWeb"/>
        <w:spacing w:before="240" w:beforeAutospacing="0" w:after="240" w:afterAutospacing="0" w:line="276" w:lineRule="auto"/>
        <w:rPr>
          <w:rFonts w:ascii="Arial" w:hAnsi="Arial" w:cs="Arial"/>
          <w:sz w:val="22"/>
          <w:szCs w:val="22"/>
          <w:lang w:val="es-ES"/>
        </w:rPr>
      </w:pPr>
      <w:r>
        <w:rPr>
          <w:rFonts w:ascii="Arial" w:hAnsi="Arial" w:cs="Arial"/>
          <w:sz w:val="22"/>
          <w:szCs w:val="22"/>
          <w:lang w:val="es-ES"/>
        </w:rPr>
        <w:t>Durante el tercer trimestre de 2025, la cuenta corriente de la balanza de pagos del país registró un déficit de US$ 2.817 millones (m), equivalente al 2,4% del PIB trimestral. Este resultado fue superior en US$ 360 m y en 0,1 pp. del PIB frente al trimestre inmediatamente anterior. En términos interanuales, el déficit se amplió en US$ 1.168 m (+70,8%) respecto al tercer trimestre de 2024 (US$ 1.650 m, 1,5% del PIB), prolongando la trayectoria de deterioro del saldo externo sostenida desde el segundo trimestre de 2024 y asociada al fortalecimiento progresivo de la demanda interna.</w:t>
      </w:r>
    </w:p>
    <w:p>
      <w:pPr>
        <w:pStyle w:val="NormalWeb"/>
        <w:spacing w:before="240" w:beforeAutospacing="0" w:after="240" w:afterAutospacing="0" w:line="276" w:lineRule="auto"/>
        <w:rPr>
          <w:rFonts w:ascii="Arial" w:hAnsi="Arial" w:cs="Arial"/>
          <w:sz w:val="22"/>
          <w:szCs w:val="22"/>
          <w:lang w:val="es-ES"/>
        </w:rPr>
      </w:pPr>
      <w:r>
        <w:rPr>
          <w:rFonts w:ascii="Arial" w:hAnsi="Arial" w:cs="Arial"/>
          <w:sz w:val="22"/>
          <w:szCs w:val="22"/>
          <w:lang w:val="es-ES"/>
        </w:rPr>
        <w:t>Por componentes, el mayor déficit corriente del tercer trimestre de 2025 frente al del trimestre anterior (US$ 360 m) se explica por la ampliación del déficit de la balanza de bienes en US$ 376 m y el aumento de los egresos netos de la renta de los factores en US$ 213 m. Esto fue compensado parcialmente por la mejora de la balanza de servicios en US$ 167 m —cuyo déficit pasó de US$ 196 m a US$ 29 m— y el incremento de las transferencias corrientes netas en US$ 62 m. En perspectiva interanual, el balance deficitario de la balanza de bienes fue el principal determinante del deterioro, al ampliarse en US$ 1.690 m (+72,9%), con exportaciones de bienes de US$ 13.344 m (+US$ 335 m frente al tercer trimestre de 2024) e importaciones de US$ 17.352 m (+US$ 2.025 m, +13,2% interanual).</w:t>
      </w:r>
    </w:p>
    <w:p>
      <w:pPr>
        <w:pStyle w:val="NormalWeb"/>
        <w:spacing w:before="240" w:beforeAutospacing="0" w:after="240" w:afterAutospacing="0" w:line="276" w:lineRule="auto"/>
        <w:rPr>
          <w:rFonts w:ascii="Arial" w:hAnsi="Arial" w:cs="Arial"/>
          <w:b/>
          <w:bCs/>
          <w:color w:val="000000"/>
          <w:sz w:val="22"/>
          <w:szCs w:val="22"/>
          <w:lang w:val="es-ES"/>
        </w:rPr>
      </w:pPr>
      <w:r>
        <w:rPr>
          <w:rFonts w:ascii="Arial" w:hAnsi="Arial" w:cs="Arial"/>
          <w:b/>
          <w:bCs/>
          <w:color w:val="000000"/>
          <w:sz w:val="22"/>
          <w:szCs w:val="22"/>
          <w:lang w:val="es-ES"/>
        </w:rPr>
        <w:t>Gráfico 1. Cuenta Corriente trimestral T1 2021 – T4 2025 (millones de dólares)</w:t>
      </w:r>
    </w:p>
    <w:p w14:paraId="49DC4076" w14:textId="778E71E7" w:rsidR="006918EA" w:rsidRDefault="006918EA">
      <w:pPr>
        <w:spacing w:line="276" w:lineRule="auto"/>
        <w:rPr>
          <w:rFonts w:ascii="Arial" w:hAnsi="Arial" w:cs="Arial"/>
          <w:b/>
          <w:bCs/>
          <w:color w:val="000000"/>
          <w:lang w:val="es-ES"/>
        </w:rPr>
      </w:pPr>
      <w:r>
        <w:rPr>
          <w:noProof/>
          <w14:ligatures w14:val="standardContextual"/>
        </w:rPr>
        <w:drawing>
          <wp:inline distT="0" distB="0" distL="0" distR="0" wp14:anchorId="2EB4B337" wp14:editId="2F882B7E">
            <wp:extent cx="6248400" cy="3080085"/>
            <wp:effectExtent l="0" t="0" r="12700" b="6350"/>
            <wp:docPr id="1042952451" name="Gráfico 1">
              <a:extLst xmlns:a="http://schemas.openxmlformats.org/drawingml/2006/main">
                <a:ext uri="{FF2B5EF4-FFF2-40B4-BE49-F238E27FC236}">
                  <a16:creationId xmlns:a16="http://schemas.microsoft.com/office/drawing/2014/main" id="{F82E5631-5F1A-462E-AE46-8011D2BA913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pPr>
        <w:pStyle w:val="NormalWeb"/>
        <w:spacing w:before="240" w:beforeAutospacing="0" w:after="240" w:afterAutospacing="0" w:line="276" w:lineRule="auto"/>
        <w:rPr>
          <w:rFonts w:ascii="Arial" w:hAnsi="Arial" w:cs="Arial"/>
          <w:sz w:val="22"/>
          <w:szCs w:val="22"/>
          <w:lang w:val="es-ES"/>
        </w:rPr>
      </w:pPr>
      <w:r>
        <w:rPr>
          <w:rFonts w:ascii="Arial" w:hAnsi="Arial" w:cs="Arial"/>
          <w:sz w:val="22"/>
          <w:szCs w:val="22"/>
          <w:lang w:val="es-ES"/>
        </w:rPr>
        <w:t>Fuente: Elaboración propia con datos del Banco de la República (2026).</w:t>
      </w:r>
    </w:p>
    <w:p>
      <w:pPr>
        <w:pStyle w:val="NormalWeb"/>
        <w:spacing w:before="240" w:beforeAutospacing="0" w:after="240" w:afterAutospacing="0" w:line="276" w:lineRule="auto"/>
        <w:rPr>
          <w:rFonts w:ascii="Arial" w:hAnsi="Arial" w:cs="Arial"/>
          <w:sz w:val="22"/>
          <w:szCs w:val="22"/>
          <w:lang w:val="es-ES"/>
        </w:rPr>
      </w:pPr>
      <w:r>
        <w:rPr>
          <w:rFonts w:ascii="Arial" w:hAnsi="Arial" w:cs="Arial"/>
          <w:sz w:val="22"/>
          <w:szCs w:val="22"/>
          <w:lang w:val="es-ES"/>
        </w:rPr>
        <w:t>La renta de los factores registró egresos netos de US$ 2.993 m en el tercer trimestre de 2025, una mejora de US$ 350 m (-10,5%) frente al mismo periodo de 2024 (US$ 3.343 m), explicada por menores egresos netos asociados a la inversión directa y a los préstamos externos. Los egresos del trimestre ascendieron a US$ 5.538 m, mientras que los ingresos por renta de inversiones colombianas en el exterior totalizaron US$ 2.545 m. Por su parte, las transferencias corrientes netas fueron de US$ 4.213 m, US$ 140 m superiores a las del tercer trimestre de 2024, con ingresos por remesas de trabajadores que continúan siendo el principal rubro, consolidando a Estados Unidos y España como los países de mayor origen.</w:t>
      </w:r>
    </w:p>
    <w:p>
      <w:pPr>
        <w:pStyle w:val="NormalWeb"/>
        <w:spacing w:before="240" w:beforeAutospacing="0" w:after="240" w:afterAutospacing="0" w:line="276" w:lineRule="auto"/>
        <w:rPr>
          <w:rFonts w:ascii="Arial" w:hAnsi="Arial" w:cs="Arial"/>
          <w:sz w:val="22"/>
          <w:szCs w:val="22"/>
          <w:lang w:val="es-ES"/>
        </w:rPr>
      </w:pPr>
      <w:r>
        <w:rPr>
          <w:rFonts w:ascii="Arial" w:hAnsi="Arial" w:cs="Arial"/>
          <w:sz w:val="22"/>
          <w:szCs w:val="22"/>
          <w:lang w:val="es-ES"/>
        </w:rPr>
        <w:t>En el cuarto trimestre de 2025, la cuenta corriente registró el mayor déficit del año, con US$ 3.912 m, equivalente al 3,1% del PIB trimestral. El mayor balance deficitario frente al trimestre anterior (US$ 1.095 m, +0,7 pp. del PIB) se explica por el aumento de los egresos netos de la renta de los factores en US$ 687 m y el mayor déficit de la balanza comercial de bienes y servicios en US$ 420 m. Esto fue compensado parcialmente por el aumento de las transferencias corrientes en US$ 12 m (Gráfico 1). En términos interanuales, el déficit se amplió en US$ 1.579 m (+67,7%) frente al cuarto trimestre de 2024 (US$ 2.333 m, 2,2% del PIB).</w:t>
      </w:r>
    </w:p>
    <w:p>
      <w:pPr>
        <w:pStyle w:val="NormalWeb"/>
        <w:spacing w:before="240" w:beforeAutospacing="0" w:after="240" w:afterAutospacing="0" w:line="276" w:lineRule="auto"/>
        <w:rPr>
          <w:rFonts w:ascii="Arial" w:hAnsi="Arial" w:cs="Arial"/>
          <w:sz w:val="22"/>
          <w:szCs w:val="22"/>
          <w:lang w:val="es-ES"/>
        </w:rPr>
      </w:pPr>
      <w:r>
        <w:rPr>
          <w:rFonts w:ascii="Arial" w:hAnsi="Arial" w:cs="Arial"/>
          <w:sz w:val="22"/>
          <w:szCs w:val="22"/>
          <w:lang w:val="es-ES"/>
        </w:rPr>
        <w:t>El aumento del déficit de la renta factorial (US$ 687 m) se explicó principalmente por el incremento de los egresos en US$ 571 m, al pasar de US$ 5.538 m en el tercer trimestre a US$ 6.108 m en el cuarto, impulsado por una mayor remisión de utilidades de empresas con inversión directa y mayores intereses de cartera. El mayor déficit en la balanza comercial de bienes y servicios (US$ 420 m) se explicó por la mayor caída de las exportaciones (US$ 546 m) frente a la de las importaciones (US$ 126 m): las exportaciones de bienes y servicios pasaron de US$ 18.644 m en el tercer trimestre a US$ 18.097 m en el cuarto, mientras las importaciones se redujeron de US$ 22.681 m a US$ 22.554 m. Frente al cuarto trimestre de 2024, las importaciones de bienes fueron US$ 1.383 m superiores (+8,7%), mientras las exportaciones crecieron apenas US$ 20 m (+0,2%), profundizando el desbalance comercial.</w:t>
      </w:r>
    </w:p>
    <w:p>
      <w:pPr>
        <w:pStyle w:val="NormalWeb"/>
        <w:spacing w:before="240" w:beforeAutospacing="0" w:after="240" w:afterAutospacing="0" w:line="276" w:lineRule="auto"/>
        <w:rPr>
          <w:rFonts w:ascii="Arial" w:hAnsi="Arial" w:cs="Arial"/>
          <w:sz w:val="22"/>
          <w:szCs w:val="22"/>
          <w:lang w:val="es-ES"/>
        </w:rPr>
      </w:pPr>
      <w:r>
        <w:rPr>
          <w:rFonts w:ascii="Arial" w:hAnsi="Arial" w:cs="Arial"/>
          <w:sz w:val="22"/>
          <w:szCs w:val="22"/>
          <w:lang w:val="es-ES"/>
        </w:rPr>
        <w:t>La dinámica exportadora del segundo semestre de 2025 mantiene el patrón de recomposición de la cesta exportadora observable desde 2022. Como se aprecia en el Gráfico 2, las exportaciones no tradicionales han consolidado su participación mayoritaria dentro del total de ventas externas de bienes, mientras las tradicionales —petróleo, carbón, café y ferroníquel— han perdido peso relativo. En el año 2025, las exportaciones de café crecieron US$ 2.395 m gracias al aumento de su precio internacional (52,0%) y al incremento en cantidades despachadas (13,3%). En contraste, las ventas de petróleo crudo y derivados disminuyeron US$ 2.537 m por la reducción de cantidades exportadas (-6,1%) y del precio implícito (-12,4%). El carbón profundizó su caída con una reducción de US$ 2.205 m, fruto de menores volúmenes (-20,3%) y precios (-11,8%), en un contexto de política interna desfavorable.</w:t>
      </w:r>
    </w:p>
    <w:p>
      <w:pPr>
        <w:pStyle w:val="NormalWeb"/>
        <w:spacing w:before="240" w:beforeAutospacing="0" w:after="240" w:afterAutospacing="0" w:line="276" w:lineRule="auto"/>
        <w:rPr>
          <w:rFonts w:ascii="Arial" w:hAnsi="Arial" w:cs="Arial"/>
          <w:b/>
          <w:bCs/>
          <w:color w:val="000000"/>
          <w:sz w:val="22"/>
          <w:szCs w:val="22"/>
          <w:lang w:val="es-ES"/>
        </w:rPr>
      </w:pPr>
      <w:r>
        <w:rPr>
          <w:rFonts w:ascii="Arial" w:hAnsi="Arial" w:cs="Arial"/>
          <w:b/>
          <w:bCs/>
          <w:color w:val="000000"/>
          <w:sz w:val="22"/>
          <w:szCs w:val="22"/>
          <w:lang w:val="es-ES"/>
        </w:rPr>
        <w:t>Gráfico 2. Evolución de la participación de las principales exportaciones</w:t>
      </w:r>
    </w:p>
    <w:p w14:paraId="7364E8B2" w14:textId="31EE1B9D" w:rsidR="00170CF1" w:rsidRDefault="007903E2">
      <w:pPr>
        <w:spacing w:line="276" w:lineRule="auto"/>
        <w:rPr>
          <w:rFonts w:ascii="Arial" w:hAnsi="Arial" w:cs="Arial"/>
          <w:b/>
          <w:bCs/>
          <w:color w:val="000000"/>
          <w:lang w:val="es-ES"/>
        </w:rPr>
      </w:pPr>
      <w:r>
        <w:rPr>
          <w:noProof/>
          <w14:ligatures w14:val="standardContextual"/>
        </w:rPr>
        <w:drawing>
          <wp:inline distT="0" distB="0" distL="0" distR="0" wp14:anchorId="16A61ECB" wp14:editId="5C1181FB">
            <wp:extent cx="5943600" cy="3462020"/>
            <wp:effectExtent l="0" t="0" r="12700" b="17780"/>
            <wp:docPr id="1723186842" name="Gráfico 2">
              <a:extLst xmlns:a="http://schemas.openxmlformats.org/drawingml/2006/main">
                <a:ext uri="{FF2B5EF4-FFF2-40B4-BE49-F238E27FC236}">
                  <a16:creationId xmlns:a16="http://schemas.microsoft.com/office/drawing/2014/main" id="{3941BA04-2746-0B9C-97B3-FB6A7B55D89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pPr>
        <w:pStyle w:val="NormalWeb"/>
        <w:spacing w:before="240" w:beforeAutospacing="0" w:after="240" w:afterAutospacing="0" w:line="276" w:lineRule="auto"/>
        <w:rPr>
          <w:rFonts w:ascii="Arial" w:hAnsi="Arial" w:cs="Arial"/>
          <w:sz w:val="22"/>
          <w:szCs w:val="22"/>
          <w:lang w:val="es-ES"/>
        </w:rPr>
      </w:pPr>
      <w:r>
        <w:rPr>
          <w:rFonts w:ascii="Arial" w:hAnsi="Arial" w:cs="Arial"/>
          <w:sz w:val="22"/>
          <w:szCs w:val="22"/>
          <w:lang w:val="es-ES"/>
        </w:rPr>
        <w:t>Fuente: Elaboración propia con datos del DANE (2026).</w:t>
      </w:r>
    </w:p>
    <w:p>
      <w:pPr>
        <w:pStyle w:val="NormalWeb"/>
        <w:spacing w:before="240" w:beforeAutospacing="0" w:after="240" w:afterAutospacing="0" w:line="276" w:lineRule="auto"/>
        <w:rPr>
          <w:rFonts w:ascii="Arial" w:hAnsi="Arial" w:cs="Arial"/>
          <w:sz w:val="22"/>
          <w:szCs w:val="22"/>
          <w:lang w:val="es-ES"/>
        </w:rPr>
      </w:pPr>
      <w:r>
        <w:rPr>
          <w:rFonts w:ascii="Arial" w:hAnsi="Arial" w:cs="Arial"/>
          <w:sz w:val="22"/>
          <w:szCs w:val="22"/>
          <w:lang w:val="es-ES"/>
        </w:rPr>
        <w:t>Siendo este el panorama, la recomposición de la cesta exportadora, aunque positiva, sigue siendo insuficiente para compensar la caída en valor de los productos tradicionales. Dentro de las exportaciones no tradicionales prevalece una alta participación de bienes del sector primario —flores, frutas, piedras y metales preciosos y productos químicos—, por lo que la diversificación productiva hacia bienes de mayor valor agregado aún resulta limitada. Las exportaciones de productos industriales, no obstante, crecieron US$ 1.912 m en el año, lo que constituye una señal alentadora en términos de capacidad manufacturera exportable.</w:t>
      </w:r>
    </w:p>
    <w:p>
      <w:pPr>
        <w:pStyle w:val="NormalWeb"/>
        <w:spacing w:before="240" w:beforeAutospacing="0" w:after="240" w:afterAutospacing="0" w:line="276" w:lineRule="auto"/>
        <w:rPr>
          <w:rFonts w:ascii="Arial" w:hAnsi="Arial" w:cs="Arial"/>
          <w:sz w:val="22"/>
          <w:szCs w:val="22"/>
          <w:lang w:val="es-ES"/>
        </w:rPr>
      </w:pPr>
      <w:r>
        <w:rPr>
          <w:rFonts w:ascii="Arial" w:hAnsi="Arial" w:cs="Arial"/>
          <w:sz w:val="22"/>
          <w:szCs w:val="22"/>
          <w:lang w:val="es-ES"/>
        </w:rPr>
        <w:t>Retomando el comportamiento global de la cuenta corriente, al ampliar el análisis a términos semestrales, el segundo semestre de 2025 cerró con un déficit de US$ 6.729 m, equivalente al 2,7% del PIB del semestre. Esto supone un deterioro de US$ 2.747 m (+68,9%) frente al segundo semestre de 2024 (US$ 3.982 m, 1,9% del PIB). Como se aprecia en la Tabla 1, la balanza comercial de bienes constituye la principal fuente del desequilibrio semestral (US$ 8.136 m), con exportaciones de bienes de US$ 26.530 m (+1,4% interanual) e importaciones de US$ 34.666 m (+10,9% interanual). La balanza de servicios registró un déficit de US$ 358 m, una mejora de US$ 100 m frente al segundo semestre de 2024 (US$ 458 m). El ingreso primario mantuvo una dinámica prácticamente estable con egresos netos de US$ 6.673 m (vs. US$ 6.720 m un año atrás). Las transferencias corrientes alcanzaron US$ 8.437 m, US$ 158 m superiores (+1,9%) al segundo semestre de 2024, aunque con notable desaceleración frente a los ritmos de crecimiento de periodos anteriores.</w:t>
      </w:r>
    </w:p>
    <w:p>
      <w:pPr>
        <w:pStyle w:val="NormalWeb"/>
        <w:spacing w:before="240" w:beforeAutospacing="0" w:after="240" w:afterAutospacing="0" w:line="276" w:lineRule="auto"/>
        <w:rPr>
          <w:rFonts w:ascii="Arial" w:hAnsi="Arial" w:cs="Arial"/>
          <w:b/>
          <w:bCs/>
          <w:color w:val="000000"/>
          <w:sz w:val="22"/>
          <w:szCs w:val="22"/>
          <w:lang w:val="es-ES"/>
        </w:rPr>
      </w:pPr>
      <w:r>
        <w:rPr>
          <w:rFonts w:ascii="Arial" w:hAnsi="Arial" w:cs="Arial"/>
          <w:b/>
          <w:bCs/>
          <w:color w:val="000000"/>
          <w:sz w:val="22"/>
          <w:szCs w:val="22"/>
          <w:lang w:val="es-ES"/>
        </w:rPr>
        <w:t>Tabla 1. Cuenta Corriente anual 2024 – 2025 (millones de dólares)</w:t>
      </w:r>
    </w:p>
    <w:tbl>
      <w:tblPr>
        <w:tblW w:w="9128" w:type="dxa"/>
        <w:tblCellMar>
          <w:left w:w="70" w:type="dxa"/>
          <w:right w:w="70" w:type="dxa"/>
        </w:tblCellMar>
        <w:tblLook w:val="04A0" w:firstRow="1" w:lastRow="0" w:firstColumn="1" w:lastColumn="0" w:noHBand="0" w:noVBand="1"/>
      </w:tblPr>
      <w:tblGrid>
        <w:gridCol w:w="4568"/>
        <w:gridCol w:w="1300"/>
        <w:gridCol w:w="1300"/>
        <w:gridCol w:w="1960"/>
      </w:tblGrid>
      <w:tr w:rsidR="00115695" w14:paraId="762DBDA4" w14:textId="77777777" w:rsidTr="00115695">
        <w:trPr>
          <w:trHeight w:val="300"/>
        </w:trPr>
        <w:tc>
          <w:tcPr>
            <w:tcW w:w="4568" w:type="dxa"/>
            <w:tcBorders>
              <w:top w:val="single" w:sz="4" w:space="0" w:color="auto"/>
              <w:left w:val="single" w:sz="4" w:space="0" w:color="auto"/>
              <w:bottom w:val="single" w:sz="4" w:space="0" w:color="auto"/>
              <w:right w:val="single" w:sz="4" w:space="0" w:color="auto"/>
            </w:tcBorders>
            <w:shd w:val="clear" w:color="000000" w:fill="44546A"/>
            <w:noWrap/>
            <w:hideMark/>
          </w:tcPr>
          <w:p w14:paraId="10168AD2" w14:textId="77777777" w:rsidR="00115695" w:rsidRDefault="00115695">
            <w:pPr>
              <w:rPr>
                <w:rFonts w:ascii="Oracle Sans" w:hAnsi="Oracle Sans" w:cs="Calibri"/>
                <w:b/>
                <w:bCs/>
                <w:color w:val="FFFFFF"/>
                <w:sz w:val="17"/>
                <w:szCs w:val="17"/>
              </w:rPr>
            </w:pPr>
            <w:r>
              <w:rPr>
                <w:rFonts w:ascii="Oracle Sans" w:hAnsi="Oracle Sans" w:cs="Calibri"/>
                <w:b/>
                <w:bCs/>
                <w:color w:val="FFFFFF"/>
                <w:sz w:val="17"/>
                <w:szCs w:val="17"/>
              </w:rPr>
              <w:t>Periodo</w:t>
            </w:r>
          </w:p>
        </w:tc>
        <w:tc>
          <w:tcPr>
            <w:tcW w:w="1300" w:type="dxa"/>
            <w:tcBorders>
              <w:top w:val="single" w:sz="4" w:space="0" w:color="auto"/>
              <w:left w:val="nil"/>
              <w:bottom w:val="single" w:sz="4" w:space="0" w:color="auto"/>
              <w:right w:val="single" w:sz="4" w:space="0" w:color="auto"/>
            </w:tcBorders>
            <w:shd w:val="clear" w:color="000000" w:fill="44546A"/>
            <w:noWrap/>
            <w:vAlign w:val="center"/>
            <w:hideMark/>
          </w:tcPr>
          <w:p w14:paraId="4BD85E79" w14:textId="77777777" w:rsidR="00115695" w:rsidRDefault="00115695">
            <w:pPr>
              <w:jc w:val="center"/>
              <w:rPr>
                <w:rFonts w:ascii="Oracle Sans" w:hAnsi="Oracle Sans" w:cs="Calibri"/>
                <w:b/>
                <w:bCs/>
                <w:color w:val="FFFFFF"/>
                <w:sz w:val="17"/>
                <w:szCs w:val="17"/>
              </w:rPr>
            </w:pPr>
            <w:r>
              <w:rPr>
                <w:rFonts w:ascii="Oracle Sans" w:hAnsi="Oracle Sans" w:cs="Calibri"/>
                <w:b/>
                <w:bCs/>
                <w:color w:val="FFFFFF"/>
                <w:sz w:val="17"/>
                <w:szCs w:val="17"/>
              </w:rPr>
              <w:t>2024 (p)</w:t>
            </w:r>
          </w:p>
        </w:tc>
        <w:tc>
          <w:tcPr>
            <w:tcW w:w="1300" w:type="dxa"/>
            <w:tcBorders>
              <w:top w:val="single" w:sz="4" w:space="0" w:color="auto"/>
              <w:left w:val="nil"/>
              <w:bottom w:val="single" w:sz="4" w:space="0" w:color="auto"/>
              <w:right w:val="single" w:sz="4" w:space="0" w:color="auto"/>
            </w:tcBorders>
            <w:shd w:val="clear" w:color="000000" w:fill="44546A"/>
            <w:noWrap/>
            <w:vAlign w:val="center"/>
            <w:hideMark/>
          </w:tcPr>
          <w:p w14:paraId="46AD2D09" w14:textId="77777777" w:rsidR="00115695" w:rsidRDefault="00115695">
            <w:pPr>
              <w:jc w:val="center"/>
              <w:rPr>
                <w:rFonts w:ascii="Oracle Sans" w:hAnsi="Oracle Sans" w:cs="Calibri"/>
                <w:b/>
                <w:bCs/>
                <w:color w:val="FFFFFF"/>
                <w:sz w:val="17"/>
                <w:szCs w:val="17"/>
              </w:rPr>
            </w:pPr>
            <w:r>
              <w:rPr>
                <w:rFonts w:ascii="Oracle Sans" w:hAnsi="Oracle Sans" w:cs="Calibri"/>
                <w:b/>
                <w:bCs/>
                <w:color w:val="FFFFFF"/>
                <w:sz w:val="17"/>
                <w:szCs w:val="17"/>
              </w:rPr>
              <w:t xml:space="preserve"> 2025 (pr)</w:t>
            </w:r>
          </w:p>
        </w:tc>
        <w:tc>
          <w:tcPr>
            <w:tcW w:w="1960" w:type="dxa"/>
            <w:tcBorders>
              <w:top w:val="single" w:sz="4" w:space="0" w:color="auto"/>
              <w:left w:val="nil"/>
              <w:bottom w:val="single" w:sz="4" w:space="0" w:color="auto"/>
              <w:right w:val="single" w:sz="4" w:space="0" w:color="auto"/>
            </w:tcBorders>
            <w:shd w:val="clear" w:color="000000" w:fill="44546A"/>
            <w:noWrap/>
            <w:vAlign w:val="center"/>
            <w:hideMark/>
          </w:tcPr>
          <w:p w14:paraId="7CA58D61" w14:textId="77777777" w:rsidR="00115695" w:rsidRDefault="00115695">
            <w:pPr>
              <w:jc w:val="center"/>
              <w:rPr>
                <w:rFonts w:ascii="Oracle Sans" w:hAnsi="Oracle Sans" w:cs="Calibri"/>
                <w:b/>
                <w:bCs/>
                <w:color w:val="FFFFFF"/>
                <w:sz w:val="17"/>
                <w:szCs w:val="17"/>
              </w:rPr>
            </w:pPr>
            <w:r>
              <w:rPr>
                <w:rFonts w:ascii="Oracle Sans" w:hAnsi="Oracle Sans" w:cs="Calibri"/>
                <w:b/>
                <w:bCs/>
                <w:color w:val="FFFFFF"/>
                <w:sz w:val="17"/>
                <w:szCs w:val="17"/>
              </w:rPr>
              <w:t>Variación</w:t>
            </w:r>
          </w:p>
        </w:tc>
      </w:tr>
      <w:tr w:rsidR="00115695" w14:paraId="2AAE612E" w14:textId="77777777" w:rsidTr="00115695">
        <w:trPr>
          <w:trHeight w:val="300"/>
        </w:trPr>
        <w:tc>
          <w:tcPr>
            <w:tcW w:w="4568" w:type="dxa"/>
            <w:tcBorders>
              <w:top w:val="nil"/>
              <w:left w:val="nil"/>
              <w:bottom w:val="single" w:sz="4" w:space="0" w:color="161513"/>
              <w:right w:val="nil"/>
            </w:tcBorders>
            <w:shd w:val="clear" w:color="000000" w:fill="44546A"/>
            <w:noWrap/>
            <w:hideMark/>
          </w:tcPr>
          <w:p w14:paraId="53D14313" w14:textId="77777777" w:rsidR="00115695" w:rsidRDefault="00115695">
            <w:pPr>
              <w:rPr>
                <w:rFonts w:ascii="Oracle Sans" w:hAnsi="Oracle Sans" w:cs="Calibri"/>
                <w:b/>
                <w:bCs/>
                <w:color w:val="FFFFFF"/>
                <w:sz w:val="17"/>
                <w:szCs w:val="17"/>
              </w:rPr>
            </w:pPr>
            <w:r>
              <w:rPr>
                <w:rFonts w:ascii="Oracle Sans" w:hAnsi="Oracle Sans" w:cs="Calibri"/>
                <w:b/>
                <w:bCs/>
                <w:color w:val="FFFFFF"/>
                <w:sz w:val="17"/>
                <w:szCs w:val="17"/>
              </w:rPr>
              <w:lastRenderedPageBreak/>
              <w:t>Cuenta corriente</w:t>
            </w:r>
          </w:p>
        </w:tc>
        <w:tc>
          <w:tcPr>
            <w:tcW w:w="1300" w:type="dxa"/>
            <w:tcBorders>
              <w:top w:val="nil"/>
              <w:left w:val="nil"/>
              <w:bottom w:val="single" w:sz="4" w:space="0" w:color="161513"/>
              <w:right w:val="single" w:sz="4" w:space="0" w:color="161513"/>
            </w:tcBorders>
            <w:shd w:val="clear" w:color="FFFFFF" w:fill="FFFFFF"/>
            <w:noWrap/>
            <w:vAlign w:val="center"/>
            <w:hideMark/>
          </w:tcPr>
          <w:p w14:paraId="1E070B8B" w14:textId="77777777" w:rsidR="00115695" w:rsidRDefault="00115695">
            <w:pPr>
              <w:jc w:val="right"/>
              <w:rPr>
                <w:rFonts w:ascii="Oracle Sans" w:hAnsi="Oracle Sans" w:cs="Calibri"/>
                <w:sz w:val="15"/>
                <w:szCs w:val="15"/>
              </w:rPr>
            </w:pPr>
            <w:r>
              <w:rPr>
                <w:rFonts w:ascii="Oracle Sans" w:hAnsi="Oracle Sans" w:cs="Calibri"/>
                <w:sz w:val="15"/>
                <w:szCs w:val="15"/>
              </w:rPr>
              <w:t>-7.012,36</w:t>
            </w:r>
          </w:p>
        </w:tc>
        <w:tc>
          <w:tcPr>
            <w:tcW w:w="1300" w:type="dxa"/>
            <w:tcBorders>
              <w:top w:val="nil"/>
              <w:left w:val="nil"/>
              <w:bottom w:val="single" w:sz="4" w:space="0" w:color="161513"/>
              <w:right w:val="single" w:sz="4" w:space="0" w:color="161513"/>
            </w:tcBorders>
            <w:shd w:val="clear" w:color="FFFFFF" w:fill="FFFFFF"/>
            <w:noWrap/>
            <w:vAlign w:val="center"/>
            <w:hideMark/>
          </w:tcPr>
          <w:p w14:paraId="0F528C98" w14:textId="77777777" w:rsidR="00115695" w:rsidRDefault="00115695">
            <w:pPr>
              <w:jc w:val="right"/>
              <w:rPr>
                <w:rFonts w:ascii="Oracle Sans" w:hAnsi="Oracle Sans" w:cs="Calibri"/>
                <w:sz w:val="15"/>
                <w:szCs w:val="15"/>
              </w:rPr>
            </w:pPr>
            <w:r>
              <w:rPr>
                <w:rFonts w:ascii="Oracle Sans" w:hAnsi="Oracle Sans" w:cs="Calibri"/>
                <w:sz w:val="15"/>
                <w:szCs w:val="15"/>
              </w:rPr>
              <w:t>-10.882,89</w:t>
            </w:r>
          </w:p>
        </w:tc>
        <w:tc>
          <w:tcPr>
            <w:tcW w:w="1960" w:type="dxa"/>
            <w:tcBorders>
              <w:top w:val="nil"/>
              <w:left w:val="nil"/>
              <w:bottom w:val="single" w:sz="4" w:space="0" w:color="161513"/>
              <w:right w:val="single" w:sz="4" w:space="0" w:color="161513"/>
            </w:tcBorders>
            <w:shd w:val="clear" w:color="FFFFFF" w:fill="FFFFFF"/>
            <w:noWrap/>
            <w:vAlign w:val="center"/>
            <w:hideMark/>
          </w:tcPr>
          <w:p w14:paraId="6CE8666D" w14:textId="77777777" w:rsidR="00115695" w:rsidRDefault="00115695">
            <w:pPr>
              <w:jc w:val="right"/>
              <w:rPr>
                <w:rFonts w:ascii="Oracle Sans" w:hAnsi="Oracle Sans" w:cs="Calibri"/>
                <w:sz w:val="15"/>
                <w:szCs w:val="15"/>
              </w:rPr>
            </w:pPr>
            <w:r>
              <w:rPr>
                <w:rFonts w:ascii="Oracle Sans" w:hAnsi="Oracle Sans" w:cs="Calibri"/>
                <w:sz w:val="15"/>
                <w:szCs w:val="15"/>
              </w:rPr>
              <w:t>-3.870,54</w:t>
            </w:r>
          </w:p>
        </w:tc>
      </w:tr>
      <w:tr w:rsidR="00115695" w14:paraId="6E769FEF" w14:textId="77777777" w:rsidTr="00115695">
        <w:trPr>
          <w:trHeight w:val="300"/>
        </w:trPr>
        <w:tc>
          <w:tcPr>
            <w:tcW w:w="4568" w:type="dxa"/>
            <w:tcBorders>
              <w:top w:val="nil"/>
              <w:left w:val="nil"/>
              <w:bottom w:val="single" w:sz="4" w:space="0" w:color="161513"/>
              <w:right w:val="nil"/>
            </w:tcBorders>
            <w:shd w:val="clear" w:color="000000" w:fill="44546A"/>
            <w:noWrap/>
            <w:hideMark/>
          </w:tcPr>
          <w:p w14:paraId="7ED2E5AB" w14:textId="77777777" w:rsidR="00115695" w:rsidRDefault="00115695">
            <w:pPr>
              <w:rPr>
                <w:rFonts w:ascii="Oracle Sans" w:hAnsi="Oracle Sans" w:cs="Calibri"/>
                <w:b/>
                <w:bCs/>
                <w:color w:val="FFFFFF"/>
                <w:sz w:val="17"/>
                <w:szCs w:val="17"/>
              </w:rPr>
            </w:pPr>
            <w:r>
              <w:rPr>
                <w:rFonts w:ascii="Oracle Sans" w:hAnsi="Oracle Sans" w:cs="Calibri"/>
                <w:b/>
                <w:bCs/>
                <w:color w:val="FFFFFF"/>
                <w:sz w:val="17"/>
                <w:szCs w:val="17"/>
              </w:rPr>
              <w:t>               Crédito (exportaciones)</w:t>
            </w:r>
          </w:p>
        </w:tc>
        <w:tc>
          <w:tcPr>
            <w:tcW w:w="1300" w:type="dxa"/>
            <w:tcBorders>
              <w:top w:val="nil"/>
              <w:left w:val="nil"/>
              <w:bottom w:val="single" w:sz="4" w:space="0" w:color="161513"/>
              <w:right w:val="single" w:sz="4" w:space="0" w:color="161513"/>
            </w:tcBorders>
            <w:shd w:val="clear" w:color="FFFFFF" w:fill="FFFFFF"/>
            <w:noWrap/>
            <w:vAlign w:val="center"/>
            <w:hideMark/>
          </w:tcPr>
          <w:p w14:paraId="7BC1C7A8" w14:textId="77777777" w:rsidR="00115695" w:rsidRDefault="00115695">
            <w:pPr>
              <w:jc w:val="right"/>
              <w:rPr>
                <w:rFonts w:ascii="Oracle Sans" w:hAnsi="Oracle Sans" w:cs="Calibri"/>
                <w:sz w:val="15"/>
                <w:szCs w:val="15"/>
              </w:rPr>
            </w:pPr>
            <w:r>
              <w:rPr>
                <w:rFonts w:ascii="Oracle Sans" w:hAnsi="Oracle Sans" w:cs="Calibri"/>
                <w:sz w:val="15"/>
                <w:szCs w:val="15"/>
              </w:rPr>
              <w:t>95.738,05</w:t>
            </w:r>
          </w:p>
        </w:tc>
        <w:tc>
          <w:tcPr>
            <w:tcW w:w="1300" w:type="dxa"/>
            <w:tcBorders>
              <w:top w:val="nil"/>
              <w:left w:val="nil"/>
              <w:bottom w:val="single" w:sz="4" w:space="0" w:color="161513"/>
              <w:right w:val="single" w:sz="4" w:space="0" w:color="161513"/>
            </w:tcBorders>
            <w:shd w:val="clear" w:color="FFFFFF" w:fill="FFFFFF"/>
            <w:noWrap/>
            <w:vAlign w:val="center"/>
            <w:hideMark/>
          </w:tcPr>
          <w:p w14:paraId="54155F82" w14:textId="77777777" w:rsidR="00115695" w:rsidRDefault="00115695">
            <w:pPr>
              <w:jc w:val="right"/>
              <w:rPr>
                <w:rFonts w:ascii="Oracle Sans" w:hAnsi="Oracle Sans" w:cs="Calibri"/>
                <w:sz w:val="15"/>
                <w:szCs w:val="15"/>
              </w:rPr>
            </w:pPr>
            <w:r>
              <w:rPr>
                <w:rFonts w:ascii="Oracle Sans" w:hAnsi="Oracle Sans" w:cs="Calibri"/>
                <w:sz w:val="15"/>
                <w:szCs w:val="15"/>
              </w:rPr>
              <w:t>98.909,77</w:t>
            </w:r>
          </w:p>
        </w:tc>
        <w:tc>
          <w:tcPr>
            <w:tcW w:w="1960" w:type="dxa"/>
            <w:tcBorders>
              <w:top w:val="nil"/>
              <w:left w:val="nil"/>
              <w:bottom w:val="single" w:sz="4" w:space="0" w:color="161513"/>
              <w:right w:val="single" w:sz="4" w:space="0" w:color="161513"/>
            </w:tcBorders>
            <w:shd w:val="clear" w:color="FFFFFF" w:fill="FFFFFF"/>
            <w:noWrap/>
            <w:vAlign w:val="center"/>
            <w:hideMark/>
          </w:tcPr>
          <w:p w14:paraId="52FDD238" w14:textId="77777777" w:rsidR="00115695" w:rsidRDefault="00115695">
            <w:pPr>
              <w:jc w:val="right"/>
              <w:rPr>
                <w:rFonts w:ascii="Oracle Sans" w:hAnsi="Oracle Sans" w:cs="Calibri"/>
                <w:sz w:val="15"/>
                <w:szCs w:val="15"/>
              </w:rPr>
            </w:pPr>
            <w:r>
              <w:rPr>
                <w:rFonts w:ascii="Oracle Sans" w:hAnsi="Oracle Sans" w:cs="Calibri"/>
                <w:sz w:val="15"/>
                <w:szCs w:val="15"/>
              </w:rPr>
              <w:t>3.171,72</w:t>
            </w:r>
          </w:p>
        </w:tc>
      </w:tr>
      <w:tr w:rsidR="00115695" w14:paraId="55F9B60F" w14:textId="77777777" w:rsidTr="00115695">
        <w:trPr>
          <w:trHeight w:val="300"/>
        </w:trPr>
        <w:tc>
          <w:tcPr>
            <w:tcW w:w="4568" w:type="dxa"/>
            <w:tcBorders>
              <w:top w:val="nil"/>
              <w:left w:val="nil"/>
              <w:bottom w:val="single" w:sz="4" w:space="0" w:color="161513"/>
              <w:right w:val="nil"/>
            </w:tcBorders>
            <w:shd w:val="clear" w:color="000000" w:fill="44546A"/>
            <w:noWrap/>
            <w:hideMark/>
          </w:tcPr>
          <w:p w14:paraId="57E27BC0" w14:textId="77777777" w:rsidR="00115695" w:rsidRDefault="00115695">
            <w:pPr>
              <w:rPr>
                <w:rFonts w:ascii="Oracle Sans" w:hAnsi="Oracle Sans" w:cs="Calibri"/>
                <w:b/>
                <w:bCs/>
                <w:color w:val="FFFFFF"/>
                <w:sz w:val="17"/>
                <w:szCs w:val="17"/>
              </w:rPr>
            </w:pPr>
            <w:r>
              <w:rPr>
                <w:rFonts w:ascii="Oracle Sans" w:hAnsi="Oracle Sans" w:cs="Calibri"/>
                <w:b/>
                <w:bCs/>
                <w:color w:val="FFFFFF"/>
                <w:sz w:val="17"/>
                <w:szCs w:val="17"/>
              </w:rPr>
              <w:t>               Débito (importaciones)</w:t>
            </w:r>
          </w:p>
        </w:tc>
        <w:tc>
          <w:tcPr>
            <w:tcW w:w="1300" w:type="dxa"/>
            <w:tcBorders>
              <w:top w:val="nil"/>
              <w:left w:val="nil"/>
              <w:bottom w:val="single" w:sz="4" w:space="0" w:color="161513"/>
              <w:right w:val="single" w:sz="4" w:space="0" w:color="161513"/>
            </w:tcBorders>
            <w:shd w:val="clear" w:color="FFFFFF" w:fill="FFFFFF"/>
            <w:noWrap/>
            <w:vAlign w:val="center"/>
            <w:hideMark/>
          </w:tcPr>
          <w:p w14:paraId="26B24C31" w14:textId="77777777" w:rsidR="00115695" w:rsidRDefault="00115695">
            <w:pPr>
              <w:jc w:val="right"/>
              <w:rPr>
                <w:rFonts w:ascii="Oracle Sans" w:hAnsi="Oracle Sans" w:cs="Calibri"/>
                <w:sz w:val="15"/>
                <w:szCs w:val="15"/>
              </w:rPr>
            </w:pPr>
            <w:r>
              <w:rPr>
                <w:rFonts w:ascii="Oracle Sans" w:hAnsi="Oracle Sans" w:cs="Calibri"/>
                <w:sz w:val="15"/>
                <w:szCs w:val="15"/>
              </w:rPr>
              <w:t>102.750,40</w:t>
            </w:r>
          </w:p>
        </w:tc>
        <w:tc>
          <w:tcPr>
            <w:tcW w:w="1300" w:type="dxa"/>
            <w:tcBorders>
              <w:top w:val="nil"/>
              <w:left w:val="nil"/>
              <w:bottom w:val="single" w:sz="4" w:space="0" w:color="161513"/>
              <w:right w:val="single" w:sz="4" w:space="0" w:color="161513"/>
            </w:tcBorders>
            <w:shd w:val="clear" w:color="FFFFFF" w:fill="FFFFFF"/>
            <w:noWrap/>
            <w:vAlign w:val="center"/>
            <w:hideMark/>
          </w:tcPr>
          <w:p w14:paraId="2121CCAB" w14:textId="77777777" w:rsidR="00115695" w:rsidRDefault="00115695">
            <w:pPr>
              <w:jc w:val="right"/>
              <w:rPr>
                <w:rFonts w:ascii="Oracle Sans" w:hAnsi="Oracle Sans" w:cs="Calibri"/>
                <w:sz w:val="15"/>
                <w:szCs w:val="15"/>
              </w:rPr>
            </w:pPr>
            <w:r>
              <w:rPr>
                <w:rFonts w:ascii="Oracle Sans" w:hAnsi="Oracle Sans" w:cs="Calibri"/>
                <w:sz w:val="15"/>
                <w:szCs w:val="15"/>
              </w:rPr>
              <w:t>109.792,66</w:t>
            </w:r>
          </w:p>
        </w:tc>
        <w:tc>
          <w:tcPr>
            <w:tcW w:w="1960" w:type="dxa"/>
            <w:tcBorders>
              <w:top w:val="nil"/>
              <w:left w:val="nil"/>
              <w:bottom w:val="single" w:sz="4" w:space="0" w:color="161513"/>
              <w:right w:val="single" w:sz="4" w:space="0" w:color="161513"/>
            </w:tcBorders>
            <w:shd w:val="clear" w:color="FFFFFF" w:fill="FFFFFF"/>
            <w:noWrap/>
            <w:vAlign w:val="center"/>
            <w:hideMark/>
          </w:tcPr>
          <w:p w14:paraId="28B57FEF" w14:textId="77777777" w:rsidR="00115695" w:rsidRDefault="00115695">
            <w:pPr>
              <w:jc w:val="right"/>
              <w:rPr>
                <w:rFonts w:ascii="Oracle Sans" w:hAnsi="Oracle Sans" w:cs="Calibri"/>
                <w:sz w:val="15"/>
                <w:szCs w:val="15"/>
              </w:rPr>
            </w:pPr>
            <w:r>
              <w:rPr>
                <w:rFonts w:ascii="Oracle Sans" w:hAnsi="Oracle Sans" w:cs="Calibri"/>
                <w:sz w:val="15"/>
                <w:szCs w:val="15"/>
              </w:rPr>
              <w:t>7.042,26</w:t>
            </w:r>
          </w:p>
        </w:tc>
      </w:tr>
      <w:tr w:rsidR="00115695" w14:paraId="465FDFDC" w14:textId="77777777" w:rsidTr="00115695">
        <w:trPr>
          <w:trHeight w:val="300"/>
        </w:trPr>
        <w:tc>
          <w:tcPr>
            <w:tcW w:w="4568" w:type="dxa"/>
            <w:tcBorders>
              <w:top w:val="nil"/>
              <w:left w:val="nil"/>
              <w:bottom w:val="single" w:sz="4" w:space="0" w:color="161513"/>
              <w:right w:val="nil"/>
            </w:tcBorders>
            <w:shd w:val="clear" w:color="000000" w:fill="44546A"/>
            <w:noWrap/>
            <w:hideMark/>
          </w:tcPr>
          <w:p w14:paraId="67CA4D2A" w14:textId="77777777" w:rsidR="00115695" w:rsidRDefault="00115695">
            <w:pPr>
              <w:rPr>
                <w:rFonts w:ascii="Oracle Sans" w:hAnsi="Oracle Sans" w:cs="Calibri"/>
                <w:b/>
                <w:bCs/>
                <w:color w:val="FFFFFF"/>
                <w:sz w:val="17"/>
                <w:szCs w:val="17"/>
              </w:rPr>
            </w:pPr>
            <w:r>
              <w:rPr>
                <w:rFonts w:ascii="Oracle Sans" w:hAnsi="Oracle Sans" w:cs="Calibri"/>
                <w:b/>
                <w:bCs/>
                <w:color w:val="FFFFFF"/>
                <w:sz w:val="17"/>
                <w:szCs w:val="17"/>
              </w:rPr>
              <w:t xml:space="preserve">         Bienes y servicios</w:t>
            </w:r>
          </w:p>
        </w:tc>
        <w:tc>
          <w:tcPr>
            <w:tcW w:w="1300" w:type="dxa"/>
            <w:tcBorders>
              <w:top w:val="nil"/>
              <w:left w:val="nil"/>
              <w:bottom w:val="single" w:sz="4" w:space="0" w:color="161513"/>
              <w:right w:val="single" w:sz="4" w:space="0" w:color="161513"/>
            </w:tcBorders>
            <w:shd w:val="clear" w:color="FFFFFF" w:fill="FFFFFF"/>
            <w:noWrap/>
            <w:vAlign w:val="center"/>
            <w:hideMark/>
          </w:tcPr>
          <w:p w14:paraId="56FF3DCA" w14:textId="77777777" w:rsidR="00115695" w:rsidRDefault="00115695">
            <w:pPr>
              <w:jc w:val="right"/>
              <w:rPr>
                <w:rFonts w:ascii="Oracle Sans" w:hAnsi="Oracle Sans" w:cs="Calibri"/>
                <w:sz w:val="15"/>
                <w:szCs w:val="15"/>
              </w:rPr>
            </w:pPr>
            <w:r>
              <w:rPr>
                <w:rFonts w:ascii="Oracle Sans" w:hAnsi="Oracle Sans" w:cs="Calibri"/>
                <w:sz w:val="15"/>
                <w:szCs w:val="15"/>
              </w:rPr>
              <w:t>-9.682,49</w:t>
            </w:r>
          </w:p>
        </w:tc>
        <w:tc>
          <w:tcPr>
            <w:tcW w:w="1300" w:type="dxa"/>
            <w:tcBorders>
              <w:top w:val="nil"/>
              <w:left w:val="nil"/>
              <w:bottom w:val="single" w:sz="4" w:space="0" w:color="161513"/>
              <w:right w:val="single" w:sz="4" w:space="0" w:color="161513"/>
            </w:tcBorders>
            <w:shd w:val="clear" w:color="FFFFFF" w:fill="FFFFFF"/>
            <w:noWrap/>
            <w:vAlign w:val="center"/>
            <w:hideMark/>
          </w:tcPr>
          <w:p w14:paraId="18F2600D" w14:textId="77777777" w:rsidR="00115695" w:rsidRDefault="00115695">
            <w:pPr>
              <w:jc w:val="right"/>
              <w:rPr>
                <w:rFonts w:ascii="Oracle Sans" w:hAnsi="Oracle Sans" w:cs="Calibri"/>
                <w:sz w:val="15"/>
                <w:szCs w:val="15"/>
              </w:rPr>
            </w:pPr>
            <w:r>
              <w:rPr>
                <w:rFonts w:ascii="Oracle Sans" w:hAnsi="Oracle Sans" w:cs="Calibri"/>
                <w:sz w:val="15"/>
                <w:szCs w:val="15"/>
              </w:rPr>
              <w:t>-14.871,47</w:t>
            </w:r>
          </w:p>
        </w:tc>
        <w:tc>
          <w:tcPr>
            <w:tcW w:w="1960" w:type="dxa"/>
            <w:tcBorders>
              <w:top w:val="nil"/>
              <w:left w:val="nil"/>
              <w:bottom w:val="single" w:sz="4" w:space="0" w:color="161513"/>
              <w:right w:val="single" w:sz="4" w:space="0" w:color="161513"/>
            </w:tcBorders>
            <w:shd w:val="clear" w:color="FFFFFF" w:fill="FFFFFF"/>
            <w:noWrap/>
            <w:vAlign w:val="center"/>
            <w:hideMark/>
          </w:tcPr>
          <w:p w14:paraId="255B9B41" w14:textId="77777777" w:rsidR="00115695" w:rsidRDefault="00115695">
            <w:pPr>
              <w:jc w:val="right"/>
              <w:rPr>
                <w:rFonts w:ascii="Oracle Sans" w:hAnsi="Oracle Sans" w:cs="Calibri"/>
                <w:sz w:val="15"/>
                <w:szCs w:val="15"/>
              </w:rPr>
            </w:pPr>
            <w:r>
              <w:rPr>
                <w:rFonts w:ascii="Oracle Sans" w:hAnsi="Oracle Sans" w:cs="Calibri"/>
                <w:sz w:val="15"/>
                <w:szCs w:val="15"/>
              </w:rPr>
              <w:t>-5.188,98</w:t>
            </w:r>
          </w:p>
        </w:tc>
      </w:tr>
      <w:tr w:rsidR="00115695" w14:paraId="25127EA1" w14:textId="77777777" w:rsidTr="00115695">
        <w:trPr>
          <w:trHeight w:val="300"/>
        </w:trPr>
        <w:tc>
          <w:tcPr>
            <w:tcW w:w="4568" w:type="dxa"/>
            <w:tcBorders>
              <w:top w:val="nil"/>
              <w:left w:val="nil"/>
              <w:bottom w:val="single" w:sz="4" w:space="0" w:color="161513"/>
              <w:right w:val="nil"/>
            </w:tcBorders>
            <w:shd w:val="clear" w:color="000000" w:fill="44546A"/>
            <w:noWrap/>
            <w:hideMark/>
          </w:tcPr>
          <w:p w14:paraId="671BCD31" w14:textId="77777777" w:rsidR="00115695" w:rsidRDefault="00115695">
            <w:pPr>
              <w:rPr>
                <w:rFonts w:ascii="Oracle Sans" w:hAnsi="Oracle Sans" w:cs="Calibri"/>
                <w:b/>
                <w:bCs/>
                <w:color w:val="FFFFFF"/>
                <w:sz w:val="17"/>
                <w:szCs w:val="17"/>
              </w:rPr>
            </w:pPr>
            <w:r>
              <w:rPr>
                <w:rFonts w:ascii="Oracle Sans" w:hAnsi="Oracle Sans" w:cs="Calibri"/>
                <w:b/>
                <w:bCs/>
                <w:color w:val="FFFFFF"/>
                <w:sz w:val="17"/>
                <w:szCs w:val="17"/>
              </w:rPr>
              <w:t>                             Crédito (exportaciones)</w:t>
            </w:r>
          </w:p>
        </w:tc>
        <w:tc>
          <w:tcPr>
            <w:tcW w:w="1300" w:type="dxa"/>
            <w:tcBorders>
              <w:top w:val="nil"/>
              <w:left w:val="nil"/>
              <w:bottom w:val="single" w:sz="4" w:space="0" w:color="161513"/>
              <w:right w:val="single" w:sz="4" w:space="0" w:color="161513"/>
            </w:tcBorders>
            <w:shd w:val="clear" w:color="FFFFFF" w:fill="FFFFFF"/>
            <w:noWrap/>
            <w:vAlign w:val="center"/>
            <w:hideMark/>
          </w:tcPr>
          <w:p w14:paraId="309BBB93" w14:textId="77777777" w:rsidR="00115695" w:rsidRDefault="00115695">
            <w:pPr>
              <w:jc w:val="right"/>
              <w:rPr>
                <w:rFonts w:ascii="Oracle Sans" w:hAnsi="Oracle Sans" w:cs="Calibri"/>
                <w:sz w:val="15"/>
                <w:szCs w:val="15"/>
              </w:rPr>
            </w:pPr>
            <w:r>
              <w:rPr>
                <w:rFonts w:ascii="Oracle Sans" w:hAnsi="Oracle Sans" w:cs="Calibri"/>
                <w:sz w:val="15"/>
                <w:szCs w:val="15"/>
              </w:rPr>
              <w:t>69.127,80</w:t>
            </w:r>
          </w:p>
        </w:tc>
        <w:tc>
          <w:tcPr>
            <w:tcW w:w="1300" w:type="dxa"/>
            <w:tcBorders>
              <w:top w:val="nil"/>
              <w:left w:val="nil"/>
              <w:bottom w:val="single" w:sz="4" w:space="0" w:color="161513"/>
              <w:right w:val="single" w:sz="4" w:space="0" w:color="161513"/>
            </w:tcBorders>
            <w:shd w:val="clear" w:color="FFFFFF" w:fill="FFFFFF"/>
            <w:noWrap/>
            <w:vAlign w:val="center"/>
            <w:hideMark/>
          </w:tcPr>
          <w:p w14:paraId="6177CA05" w14:textId="77777777" w:rsidR="00115695" w:rsidRDefault="00115695">
            <w:pPr>
              <w:jc w:val="right"/>
              <w:rPr>
                <w:rFonts w:ascii="Oracle Sans" w:hAnsi="Oracle Sans" w:cs="Calibri"/>
                <w:sz w:val="15"/>
                <w:szCs w:val="15"/>
              </w:rPr>
            </w:pPr>
            <w:r>
              <w:rPr>
                <w:rFonts w:ascii="Oracle Sans" w:hAnsi="Oracle Sans" w:cs="Calibri"/>
                <w:sz w:val="15"/>
                <w:szCs w:val="15"/>
              </w:rPr>
              <w:t>71.083,01</w:t>
            </w:r>
          </w:p>
        </w:tc>
        <w:tc>
          <w:tcPr>
            <w:tcW w:w="1960" w:type="dxa"/>
            <w:tcBorders>
              <w:top w:val="nil"/>
              <w:left w:val="nil"/>
              <w:bottom w:val="single" w:sz="4" w:space="0" w:color="161513"/>
              <w:right w:val="single" w:sz="4" w:space="0" w:color="161513"/>
            </w:tcBorders>
            <w:shd w:val="clear" w:color="FFFFFF" w:fill="FFFFFF"/>
            <w:noWrap/>
            <w:vAlign w:val="center"/>
            <w:hideMark/>
          </w:tcPr>
          <w:p w14:paraId="4B8E16EE" w14:textId="77777777" w:rsidR="00115695" w:rsidRDefault="00115695">
            <w:pPr>
              <w:jc w:val="right"/>
              <w:rPr>
                <w:rFonts w:ascii="Oracle Sans" w:hAnsi="Oracle Sans" w:cs="Calibri"/>
                <w:sz w:val="15"/>
                <w:szCs w:val="15"/>
              </w:rPr>
            </w:pPr>
            <w:r>
              <w:rPr>
                <w:rFonts w:ascii="Oracle Sans" w:hAnsi="Oracle Sans" w:cs="Calibri"/>
                <w:sz w:val="15"/>
                <w:szCs w:val="15"/>
              </w:rPr>
              <w:t>1.955,21</w:t>
            </w:r>
          </w:p>
        </w:tc>
      </w:tr>
      <w:tr w:rsidR="00115695" w14:paraId="08F253E1" w14:textId="77777777" w:rsidTr="00115695">
        <w:trPr>
          <w:trHeight w:val="300"/>
        </w:trPr>
        <w:tc>
          <w:tcPr>
            <w:tcW w:w="4568" w:type="dxa"/>
            <w:tcBorders>
              <w:top w:val="nil"/>
              <w:left w:val="nil"/>
              <w:bottom w:val="single" w:sz="4" w:space="0" w:color="161513"/>
              <w:right w:val="nil"/>
            </w:tcBorders>
            <w:shd w:val="clear" w:color="000000" w:fill="44546A"/>
            <w:noWrap/>
            <w:hideMark/>
          </w:tcPr>
          <w:p w14:paraId="5190BBFB" w14:textId="77777777" w:rsidR="00115695" w:rsidRDefault="00115695">
            <w:pPr>
              <w:rPr>
                <w:rFonts w:ascii="Oracle Sans" w:hAnsi="Oracle Sans" w:cs="Calibri"/>
                <w:b/>
                <w:bCs/>
                <w:color w:val="FFFFFF"/>
                <w:sz w:val="17"/>
                <w:szCs w:val="17"/>
              </w:rPr>
            </w:pPr>
            <w:r>
              <w:rPr>
                <w:rFonts w:ascii="Oracle Sans" w:hAnsi="Oracle Sans" w:cs="Calibri"/>
                <w:b/>
                <w:bCs/>
                <w:color w:val="FFFFFF"/>
                <w:sz w:val="17"/>
                <w:szCs w:val="17"/>
              </w:rPr>
              <w:t>                             Débito (importaciones)</w:t>
            </w:r>
          </w:p>
        </w:tc>
        <w:tc>
          <w:tcPr>
            <w:tcW w:w="1300" w:type="dxa"/>
            <w:tcBorders>
              <w:top w:val="nil"/>
              <w:left w:val="nil"/>
              <w:bottom w:val="single" w:sz="4" w:space="0" w:color="161513"/>
              <w:right w:val="single" w:sz="4" w:space="0" w:color="161513"/>
            </w:tcBorders>
            <w:shd w:val="clear" w:color="FFFFFF" w:fill="FFFFFF"/>
            <w:noWrap/>
            <w:vAlign w:val="center"/>
            <w:hideMark/>
          </w:tcPr>
          <w:p w14:paraId="38886FB0" w14:textId="77777777" w:rsidR="00115695" w:rsidRDefault="00115695">
            <w:pPr>
              <w:jc w:val="right"/>
              <w:rPr>
                <w:rFonts w:ascii="Oracle Sans" w:hAnsi="Oracle Sans" w:cs="Calibri"/>
                <w:sz w:val="15"/>
                <w:szCs w:val="15"/>
              </w:rPr>
            </w:pPr>
            <w:r>
              <w:rPr>
                <w:rFonts w:ascii="Oracle Sans" w:hAnsi="Oracle Sans" w:cs="Calibri"/>
                <w:sz w:val="15"/>
                <w:szCs w:val="15"/>
              </w:rPr>
              <w:t>78.810,29</w:t>
            </w:r>
          </w:p>
        </w:tc>
        <w:tc>
          <w:tcPr>
            <w:tcW w:w="1300" w:type="dxa"/>
            <w:tcBorders>
              <w:top w:val="nil"/>
              <w:left w:val="nil"/>
              <w:bottom w:val="single" w:sz="4" w:space="0" w:color="161513"/>
              <w:right w:val="single" w:sz="4" w:space="0" w:color="161513"/>
            </w:tcBorders>
            <w:shd w:val="clear" w:color="FFFFFF" w:fill="FFFFFF"/>
            <w:noWrap/>
            <w:vAlign w:val="center"/>
            <w:hideMark/>
          </w:tcPr>
          <w:p w14:paraId="6531952B" w14:textId="77777777" w:rsidR="00115695" w:rsidRDefault="00115695">
            <w:pPr>
              <w:jc w:val="right"/>
              <w:rPr>
                <w:rFonts w:ascii="Oracle Sans" w:hAnsi="Oracle Sans" w:cs="Calibri"/>
                <w:sz w:val="15"/>
                <w:szCs w:val="15"/>
              </w:rPr>
            </w:pPr>
            <w:r>
              <w:rPr>
                <w:rFonts w:ascii="Oracle Sans" w:hAnsi="Oracle Sans" w:cs="Calibri"/>
                <w:sz w:val="15"/>
                <w:szCs w:val="15"/>
              </w:rPr>
              <w:t>85.954,49</w:t>
            </w:r>
          </w:p>
        </w:tc>
        <w:tc>
          <w:tcPr>
            <w:tcW w:w="1960" w:type="dxa"/>
            <w:tcBorders>
              <w:top w:val="nil"/>
              <w:left w:val="nil"/>
              <w:bottom w:val="single" w:sz="4" w:space="0" w:color="161513"/>
              <w:right w:val="single" w:sz="4" w:space="0" w:color="161513"/>
            </w:tcBorders>
            <w:shd w:val="clear" w:color="FFFFFF" w:fill="FFFFFF"/>
            <w:noWrap/>
            <w:vAlign w:val="center"/>
            <w:hideMark/>
          </w:tcPr>
          <w:p w14:paraId="3A34717B" w14:textId="77777777" w:rsidR="00115695" w:rsidRDefault="00115695">
            <w:pPr>
              <w:jc w:val="right"/>
              <w:rPr>
                <w:rFonts w:ascii="Oracle Sans" w:hAnsi="Oracle Sans" w:cs="Calibri"/>
                <w:sz w:val="15"/>
                <w:szCs w:val="15"/>
              </w:rPr>
            </w:pPr>
            <w:r>
              <w:rPr>
                <w:rFonts w:ascii="Oracle Sans" w:hAnsi="Oracle Sans" w:cs="Calibri"/>
                <w:sz w:val="15"/>
                <w:szCs w:val="15"/>
              </w:rPr>
              <w:t>7.144,20</w:t>
            </w:r>
          </w:p>
        </w:tc>
      </w:tr>
      <w:tr w:rsidR="00115695" w14:paraId="0ACDCA1F" w14:textId="77777777" w:rsidTr="00115695">
        <w:trPr>
          <w:trHeight w:val="300"/>
        </w:trPr>
        <w:tc>
          <w:tcPr>
            <w:tcW w:w="4568" w:type="dxa"/>
            <w:tcBorders>
              <w:top w:val="nil"/>
              <w:left w:val="nil"/>
              <w:bottom w:val="single" w:sz="4" w:space="0" w:color="161513"/>
              <w:right w:val="nil"/>
            </w:tcBorders>
            <w:shd w:val="clear" w:color="000000" w:fill="44546A"/>
            <w:noWrap/>
            <w:hideMark/>
          </w:tcPr>
          <w:p w14:paraId="53888A32" w14:textId="77777777" w:rsidR="00115695" w:rsidRDefault="00115695">
            <w:pPr>
              <w:rPr>
                <w:rFonts w:ascii="Oracle Sans" w:hAnsi="Oracle Sans" w:cs="Calibri"/>
                <w:b/>
                <w:bCs/>
                <w:color w:val="FFFFFF"/>
                <w:sz w:val="17"/>
                <w:szCs w:val="17"/>
              </w:rPr>
            </w:pPr>
            <w:r>
              <w:rPr>
                <w:rFonts w:ascii="Oracle Sans" w:hAnsi="Oracle Sans" w:cs="Calibri"/>
                <w:b/>
                <w:bCs/>
                <w:color w:val="FFFFFF"/>
                <w:sz w:val="17"/>
                <w:szCs w:val="17"/>
              </w:rPr>
              <w:t xml:space="preserve">                               Bienes</w:t>
            </w:r>
          </w:p>
        </w:tc>
        <w:tc>
          <w:tcPr>
            <w:tcW w:w="1300" w:type="dxa"/>
            <w:tcBorders>
              <w:top w:val="nil"/>
              <w:left w:val="nil"/>
              <w:bottom w:val="single" w:sz="4" w:space="0" w:color="161513"/>
              <w:right w:val="single" w:sz="4" w:space="0" w:color="161513"/>
            </w:tcBorders>
            <w:shd w:val="clear" w:color="FFFFFF" w:fill="FFFFFF"/>
            <w:noWrap/>
            <w:vAlign w:val="center"/>
            <w:hideMark/>
          </w:tcPr>
          <w:p w14:paraId="382A877E" w14:textId="77777777" w:rsidR="00115695" w:rsidRDefault="00115695">
            <w:pPr>
              <w:jc w:val="right"/>
              <w:rPr>
                <w:rFonts w:ascii="Oracle Sans" w:hAnsi="Oracle Sans" w:cs="Calibri"/>
                <w:sz w:val="15"/>
                <w:szCs w:val="15"/>
              </w:rPr>
            </w:pPr>
            <w:r>
              <w:rPr>
                <w:rFonts w:ascii="Oracle Sans" w:hAnsi="Oracle Sans" w:cs="Calibri"/>
                <w:sz w:val="15"/>
                <w:szCs w:val="15"/>
              </w:rPr>
              <w:t>-9.155,77</w:t>
            </w:r>
          </w:p>
        </w:tc>
        <w:tc>
          <w:tcPr>
            <w:tcW w:w="1300" w:type="dxa"/>
            <w:tcBorders>
              <w:top w:val="nil"/>
              <w:left w:val="nil"/>
              <w:bottom w:val="single" w:sz="4" w:space="0" w:color="161513"/>
              <w:right w:val="single" w:sz="4" w:space="0" w:color="161513"/>
            </w:tcBorders>
            <w:shd w:val="clear" w:color="FFFFFF" w:fill="FFFFFF"/>
            <w:noWrap/>
            <w:vAlign w:val="center"/>
            <w:hideMark/>
          </w:tcPr>
          <w:p w14:paraId="529CB2C1" w14:textId="77777777" w:rsidR="00115695" w:rsidRDefault="00115695">
            <w:pPr>
              <w:jc w:val="right"/>
              <w:rPr>
                <w:rFonts w:ascii="Oracle Sans" w:hAnsi="Oracle Sans" w:cs="Calibri"/>
                <w:sz w:val="15"/>
                <w:szCs w:val="15"/>
              </w:rPr>
            </w:pPr>
            <w:r>
              <w:rPr>
                <w:rFonts w:ascii="Oracle Sans" w:hAnsi="Oracle Sans" w:cs="Calibri"/>
                <w:sz w:val="15"/>
                <w:szCs w:val="15"/>
              </w:rPr>
              <w:t>-14.832,45</w:t>
            </w:r>
          </w:p>
        </w:tc>
        <w:tc>
          <w:tcPr>
            <w:tcW w:w="1960" w:type="dxa"/>
            <w:tcBorders>
              <w:top w:val="nil"/>
              <w:left w:val="nil"/>
              <w:bottom w:val="single" w:sz="4" w:space="0" w:color="161513"/>
              <w:right w:val="single" w:sz="4" w:space="0" w:color="161513"/>
            </w:tcBorders>
            <w:shd w:val="clear" w:color="FFFFFF" w:fill="FFFFFF"/>
            <w:noWrap/>
            <w:vAlign w:val="center"/>
            <w:hideMark/>
          </w:tcPr>
          <w:p w14:paraId="608288FA" w14:textId="77777777" w:rsidR="00115695" w:rsidRDefault="00115695">
            <w:pPr>
              <w:jc w:val="right"/>
              <w:rPr>
                <w:rFonts w:ascii="Oracle Sans" w:hAnsi="Oracle Sans" w:cs="Calibri"/>
                <w:sz w:val="15"/>
                <w:szCs w:val="15"/>
              </w:rPr>
            </w:pPr>
            <w:r>
              <w:rPr>
                <w:rFonts w:ascii="Oracle Sans" w:hAnsi="Oracle Sans" w:cs="Calibri"/>
                <w:sz w:val="15"/>
                <w:szCs w:val="15"/>
              </w:rPr>
              <w:t>-5.676,68</w:t>
            </w:r>
          </w:p>
        </w:tc>
      </w:tr>
      <w:tr w:rsidR="00115695" w14:paraId="425CEAAA" w14:textId="77777777" w:rsidTr="00115695">
        <w:trPr>
          <w:trHeight w:val="300"/>
        </w:trPr>
        <w:tc>
          <w:tcPr>
            <w:tcW w:w="4568" w:type="dxa"/>
            <w:tcBorders>
              <w:top w:val="nil"/>
              <w:left w:val="nil"/>
              <w:bottom w:val="single" w:sz="4" w:space="0" w:color="161513"/>
              <w:right w:val="nil"/>
            </w:tcBorders>
            <w:shd w:val="clear" w:color="000000" w:fill="44546A"/>
            <w:noWrap/>
            <w:hideMark/>
          </w:tcPr>
          <w:p w14:paraId="13CFBEF0" w14:textId="77777777" w:rsidR="00115695" w:rsidRDefault="00115695">
            <w:pPr>
              <w:rPr>
                <w:rFonts w:ascii="Oracle Sans" w:hAnsi="Oracle Sans" w:cs="Calibri"/>
                <w:b/>
                <w:bCs/>
                <w:color w:val="FFFFFF"/>
                <w:sz w:val="17"/>
                <w:szCs w:val="17"/>
              </w:rPr>
            </w:pPr>
            <w:r>
              <w:rPr>
                <w:rFonts w:ascii="Oracle Sans" w:hAnsi="Oracle Sans" w:cs="Calibri"/>
                <w:b/>
                <w:bCs/>
                <w:color w:val="FFFFFF"/>
                <w:sz w:val="17"/>
                <w:szCs w:val="17"/>
              </w:rPr>
              <w:t>                                           Crédito (exportaciones)</w:t>
            </w:r>
          </w:p>
        </w:tc>
        <w:tc>
          <w:tcPr>
            <w:tcW w:w="1300" w:type="dxa"/>
            <w:tcBorders>
              <w:top w:val="nil"/>
              <w:left w:val="nil"/>
              <w:bottom w:val="single" w:sz="4" w:space="0" w:color="161513"/>
              <w:right w:val="single" w:sz="4" w:space="0" w:color="161513"/>
            </w:tcBorders>
            <w:shd w:val="clear" w:color="FFFFFF" w:fill="FFFFFF"/>
            <w:noWrap/>
            <w:vAlign w:val="center"/>
            <w:hideMark/>
          </w:tcPr>
          <w:p w14:paraId="23DCAF17" w14:textId="77777777" w:rsidR="00115695" w:rsidRDefault="00115695">
            <w:pPr>
              <w:jc w:val="right"/>
              <w:rPr>
                <w:rFonts w:ascii="Oracle Sans" w:hAnsi="Oracle Sans" w:cs="Calibri"/>
                <w:sz w:val="15"/>
                <w:szCs w:val="15"/>
              </w:rPr>
            </w:pPr>
            <w:r>
              <w:rPr>
                <w:rFonts w:ascii="Oracle Sans" w:hAnsi="Oracle Sans" w:cs="Calibri"/>
                <w:sz w:val="15"/>
                <w:szCs w:val="15"/>
              </w:rPr>
              <w:t>51.090,69</w:t>
            </w:r>
          </w:p>
        </w:tc>
        <w:tc>
          <w:tcPr>
            <w:tcW w:w="1300" w:type="dxa"/>
            <w:tcBorders>
              <w:top w:val="nil"/>
              <w:left w:val="nil"/>
              <w:bottom w:val="single" w:sz="4" w:space="0" w:color="161513"/>
              <w:right w:val="single" w:sz="4" w:space="0" w:color="161513"/>
            </w:tcBorders>
            <w:shd w:val="clear" w:color="FFFFFF" w:fill="FFFFFF"/>
            <w:noWrap/>
            <w:vAlign w:val="center"/>
            <w:hideMark/>
          </w:tcPr>
          <w:p w14:paraId="6435DE25" w14:textId="77777777" w:rsidR="00115695" w:rsidRDefault="00115695">
            <w:pPr>
              <w:jc w:val="right"/>
              <w:rPr>
                <w:rFonts w:ascii="Oracle Sans" w:hAnsi="Oracle Sans" w:cs="Calibri"/>
                <w:sz w:val="15"/>
                <w:szCs w:val="15"/>
              </w:rPr>
            </w:pPr>
            <w:r>
              <w:rPr>
                <w:rFonts w:ascii="Oracle Sans" w:hAnsi="Oracle Sans" w:cs="Calibri"/>
                <w:sz w:val="15"/>
                <w:szCs w:val="15"/>
              </w:rPr>
              <w:t>51.496,33</w:t>
            </w:r>
          </w:p>
        </w:tc>
        <w:tc>
          <w:tcPr>
            <w:tcW w:w="1960" w:type="dxa"/>
            <w:tcBorders>
              <w:top w:val="nil"/>
              <w:left w:val="nil"/>
              <w:bottom w:val="single" w:sz="4" w:space="0" w:color="161513"/>
              <w:right w:val="single" w:sz="4" w:space="0" w:color="161513"/>
            </w:tcBorders>
            <w:shd w:val="clear" w:color="FFFFFF" w:fill="FFFFFF"/>
            <w:noWrap/>
            <w:vAlign w:val="center"/>
            <w:hideMark/>
          </w:tcPr>
          <w:p w14:paraId="019814A7" w14:textId="77777777" w:rsidR="00115695" w:rsidRDefault="00115695">
            <w:pPr>
              <w:jc w:val="right"/>
              <w:rPr>
                <w:rFonts w:ascii="Oracle Sans" w:hAnsi="Oracle Sans" w:cs="Calibri"/>
                <w:sz w:val="15"/>
                <w:szCs w:val="15"/>
              </w:rPr>
            </w:pPr>
            <w:r>
              <w:rPr>
                <w:rFonts w:ascii="Oracle Sans" w:hAnsi="Oracle Sans" w:cs="Calibri"/>
                <w:sz w:val="15"/>
                <w:szCs w:val="15"/>
              </w:rPr>
              <w:t>405,64</w:t>
            </w:r>
          </w:p>
        </w:tc>
      </w:tr>
      <w:tr w:rsidR="00115695" w14:paraId="2CB430D2" w14:textId="77777777" w:rsidTr="00115695">
        <w:trPr>
          <w:trHeight w:val="300"/>
        </w:trPr>
        <w:tc>
          <w:tcPr>
            <w:tcW w:w="4568" w:type="dxa"/>
            <w:tcBorders>
              <w:top w:val="nil"/>
              <w:left w:val="nil"/>
              <w:bottom w:val="single" w:sz="4" w:space="0" w:color="161513"/>
              <w:right w:val="nil"/>
            </w:tcBorders>
            <w:shd w:val="clear" w:color="000000" w:fill="44546A"/>
            <w:noWrap/>
            <w:hideMark/>
          </w:tcPr>
          <w:p w14:paraId="01A344BE" w14:textId="77777777" w:rsidR="00115695" w:rsidRDefault="00115695">
            <w:pPr>
              <w:rPr>
                <w:rFonts w:ascii="Oracle Sans" w:hAnsi="Oracle Sans" w:cs="Calibri"/>
                <w:b/>
                <w:bCs/>
                <w:color w:val="FFFFFF"/>
                <w:sz w:val="17"/>
                <w:szCs w:val="17"/>
              </w:rPr>
            </w:pPr>
            <w:r>
              <w:rPr>
                <w:rFonts w:ascii="Oracle Sans" w:hAnsi="Oracle Sans" w:cs="Calibri"/>
                <w:b/>
                <w:bCs/>
                <w:color w:val="FFFFFF"/>
                <w:sz w:val="17"/>
                <w:szCs w:val="17"/>
              </w:rPr>
              <w:t>                                           Débito (importaciones)</w:t>
            </w:r>
          </w:p>
        </w:tc>
        <w:tc>
          <w:tcPr>
            <w:tcW w:w="1300" w:type="dxa"/>
            <w:tcBorders>
              <w:top w:val="nil"/>
              <w:left w:val="nil"/>
              <w:bottom w:val="single" w:sz="4" w:space="0" w:color="161513"/>
              <w:right w:val="single" w:sz="4" w:space="0" w:color="161513"/>
            </w:tcBorders>
            <w:shd w:val="clear" w:color="FFFFFF" w:fill="FFFFFF"/>
            <w:noWrap/>
            <w:vAlign w:val="center"/>
            <w:hideMark/>
          </w:tcPr>
          <w:p w14:paraId="6F90E8D0" w14:textId="77777777" w:rsidR="00115695" w:rsidRDefault="00115695">
            <w:pPr>
              <w:jc w:val="right"/>
              <w:rPr>
                <w:rFonts w:ascii="Oracle Sans" w:hAnsi="Oracle Sans" w:cs="Calibri"/>
                <w:sz w:val="15"/>
                <w:szCs w:val="15"/>
              </w:rPr>
            </w:pPr>
            <w:r>
              <w:rPr>
                <w:rFonts w:ascii="Oracle Sans" w:hAnsi="Oracle Sans" w:cs="Calibri"/>
                <w:sz w:val="15"/>
                <w:szCs w:val="15"/>
              </w:rPr>
              <w:t>60.246,46</w:t>
            </w:r>
          </w:p>
        </w:tc>
        <w:tc>
          <w:tcPr>
            <w:tcW w:w="1300" w:type="dxa"/>
            <w:tcBorders>
              <w:top w:val="nil"/>
              <w:left w:val="nil"/>
              <w:bottom w:val="single" w:sz="4" w:space="0" w:color="161513"/>
              <w:right w:val="single" w:sz="4" w:space="0" w:color="161513"/>
            </w:tcBorders>
            <w:shd w:val="clear" w:color="FFFFFF" w:fill="FFFFFF"/>
            <w:noWrap/>
            <w:vAlign w:val="center"/>
            <w:hideMark/>
          </w:tcPr>
          <w:p w14:paraId="254071D2" w14:textId="77777777" w:rsidR="00115695" w:rsidRDefault="00115695">
            <w:pPr>
              <w:jc w:val="right"/>
              <w:rPr>
                <w:rFonts w:ascii="Oracle Sans" w:hAnsi="Oracle Sans" w:cs="Calibri"/>
                <w:sz w:val="15"/>
                <w:szCs w:val="15"/>
              </w:rPr>
            </w:pPr>
            <w:r>
              <w:rPr>
                <w:rFonts w:ascii="Oracle Sans" w:hAnsi="Oracle Sans" w:cs="Calibri"/>
                <w:sz w:val="15"/>
                <w:szCs w:val="15"/>
              </w:rPr>
              <w:t>66.328,78</w:t>
            </w:r>
          </w:p>
        </w:tc>
        <w:tc>
          <w:tcPr>
            <w:tcW w:w="1960" w:type="dxa"/>
            <w:tcBorders>
              <w:top w:val="nil"/>
              <w:left w:val="nil"/>
              <w:bottom w:val="single" w:sz="4" w:space="0" w:color="161513"/>
              <w:right w:val="single" w:sz="4" w:space="0" w:color="161513"/>
            </w:tcBorders>
            <w:shd w:val="clear" w:color="FFFFFF" w:fill="FFFFFF"/>
            <w:noWrap/>
            <w:vAlign w:val="center"/>
            <w:hideMark/>
          </w:tcPr>
          <w:p w14:paraId="345B46B4" w14:textId="77777777" w:rsidR="00115695" w:rsidRDefault="00115695">
            <w:pPr>
              <w:jc w:val="right"/>
              <w:rPr>
                <w:rFonts w:ascii="Oracle Sans" w:hAnsi="Oracle Sans" w:cs="Calibri"/>
                <w:sz w:val="15"/>
                <w:szCs w:val="15"/>
              </w:rPr>
            </w:pPr>
            <w:r>
              <w:rPr>
                <w:rFonts w:ascii="Oracle Sans" w:hAnsi="Oracle Sans" w:cs="Calibri"/>
                <w:sz w:val="15"/>
                <w:szCs w:val="15"/>
              </w:rPr>
              <w:t>6.082,33</w:t>
            </w:r>
          </w:p>
        </w:tc>
      </w:tr>
      <w:tr w:rsidR="00115695" w14:paraId="01C54FFD" w14:textId="77777777" w:rsidTr="00115695">
        <w:trPr>
          <w:trHeight w:val="300"/>
        </w:trPr>
        <w:tc>
          <w:tcPr>
            <w:tcW w:w="4568" w:type="dxa"/>
            <w:tcBorders>
              <w:top w:val="nil"/>
              <w:left w:val="nil"/>
              <w:bottom w:val="single" w:sz="4" w:space="0" w:color="161513"/>
              <w:right w:val="nil"/>
            </w:tcBorders>
            <w:shd w:val="clear" w:color="000000" w:fill="44546A"/>
            <w:noWrap/>
            <w:hideMark/>
          </w:tcPr>
          <w:p w14:paraId="17C1C26E" w14:textId="77777777" w:rsidR="00115695" w:rsidRDefault="00115695">
            <w:pPr>
              <w:rPr>
                <w:rFonts w:ascii="Oracle Sans" w:hAnsi="Oracle Sans" w:cs="Calibri"/>
                <w:b/>
                <w:bCs/>
                <w:color w:val="FFFFFF"/>
                <w:sz w:val="17"/>
                <w:szCs w:val="17"/>
              </w:rPr>
            </w:pPr>
            <w:r>
              <w:rPr>
                <w:rFonts w:ascii="Oracle Sans" w:hAnsi="Oracle Sans" w:cs="Calibri"/>
                <w:b/>
                <w:bCs/>
                <w:color w:val="FFFFFF"/>
                <w:sz w:val="17"/>
                <w:szCs w:val="17"/>
              </w:rPr>
              <w:t>                               Servicios</w:t>
            </w:r>
          </w:p>
        </w:tc>
        <w:tc>
          <w:tcPr>
            <w:tcW w:w="1300" w:type="dxa"/>
            <w:tcBorders>
              <w:top w:val="nil"/>
              <w:left w:val="nil"/>
              <w:bottom w:val="single" w:sz="4" w:space="0" w:color="161513"/>
              <w:right w:val="single" w:sz="4" w:space="0" w:color="161513"/>
            </w:tcBorders>
            <w:shd w:val="clear" w:color="FFFFFF" w:fill="FFFFFF"/>
            <w:noWrap/>
            <w:vAlign w:val="center"/>
            <w:hideMark/>
          </w:tcPr>
          <w:p w14:paraId="7F4CBD24" w14:textId="77777777" w:rsidR="00115695" w:rsidRDefault="00115695">
            <w:pPr>
              <w:jc w:val="right"/>
              <w:rPr>
                <w:rFonts w:ascii="Oracle Sans" w:hAnsi="Oracle Sans" w:cs="Calibri"/>
                <w:sz w:val="15"/>
                <w:szCs w:val="15"/>
              </w:rPr>
            </w:pPr>
            <w:r>
              <w:rPr>
                <w:rFonts w:ascii="Oracle Sans" w:hAnsi="Oracle Sans" w:cs="Calibri"/>
                <w:sz w:val="15"/>
                <w:szCs w:val="15"/>
              </w:rPr>
              <w:t>-526,72</w:t>
            </w:r>
          </w:p>
        </w:tc>
        <w:tc>
          <w:tcPr>
            <w:tcW w:w="1300" w:type="dxa"/>
            <w:tcBorders>
              <w:top w:val="nil"/>
              <w:left w:val="nil"/>
              <w:bottom w:val="single" w:sz="4" w:space="0" w:color="161513"/>
              <w:right w:val="single" w:sz="4" w:space="0" w:color="161513"/>
            </w:tcBorders>
            <w:shd w:val="clear" w:color="FFFFFF" w:fill="FFFFFF"/>
            <w:noWrap/>
            <w:vAlign w:val="center"/>
            <w:hideMark/>
          </w:tcPr>
          <w:p w14:paraId="3E00FD59" w14:textId="77777777" w:rsidR="00115695" w:rsidRDefault="00115695">
            <w:pPr>
              <w:jc w:val="right"/>
              <w:rPr>
                <w:rFonts w:ascii="Oracle Sans" w:hAnsi="Oracle Sans" w:cs="Calibri"/>
                <w:sz w:val="15"/>
                <w:szCs w:val="15"/>
              </w:rPr>
            </w:pPr>
            <w:r>
              <w:rPr>
                <w:rFonts w:ascii="Oracle Sans" w:hAnsi="Oracle Sans" w:cs="Calibri"/>
                <w:sz w:val="15"/>
                <w:szCs w:val="15"/>
              </w:rPr>
              <w:t>-39,02</w:t>
            </w:r>
          </w:p>
        </w:tc>
        <w:tc>
          <w:tcPr>
            <w:tcW w:w="1960" w:type="dxa"/>
            <w:tcBorders>
              <w:top w:val="nil"/>
              <w:left w:val="nil"/>
              <w:bottom w:val="single" w:sz="4" w:space="0" w:color="161513"/>
              <w:right w:val="single" w:sz="4" w:space="0" w:color="161513"/>
            </w:tcBorders>
            <w:shd w:val="clear" w:color="FFFFFF" w:fill="FFFFFF"/>
            <w:noWrap/>
            <w:vAlign w:val="center"/>
            <w:hideMark/>
          </w:tcPr>
          <w:p w14:paraId="47040F21" w14:textId="77777777" w:rsidR="00115695" w:rsidRDefault="00115695">
            <w:pPr>
              <w:jc w:val="right"/>
              <w:rPr>
                <w:rFonts w:ascii="Oracle Sans" w:hAnsi="Oracle Sans" w:cs="Calibri"/>
                <w:sz w:val="15"/>
                <w:szCs w:val="15"/>
              </w:rPr>
            </w:pPr>
            <w:r>
              <w:rPr>
                <w:rFonts w:ascii="Oracle Sans" w:hAnsi="Oracle Sans" w:cs="Calibri"/>
                <w:sz w:val="15"/>
                <w:szCs w:val="15"/>
              </w:rPr>
              <w:t>487,70</w:t>
            </w:r>
          </w:p>
        </w:tc>
      </w:tr>
      <w:tr w:rsidR="00115695" w14:paraId="5754EF0E" w14:textId="77777777" w:rsidTr="00115695">
        <w:trPr>
          <w:trHeight w:val="300"/>
        </w:trPr>
        <w:tc>
          <w:tcPr>
            <w:tcW w:w="4568" w:type="dxa"/>
            <w:tcBorders>
              <w:top w:val="nil"/>
              <w:left w:val="nil"/>
              <w:bottom w:val="single" w:sz="4" w:space="0" w:color="161513"/>
              <w:right w:val="nil"/>
            </w:tcBorders>
            <w:shd w:val="clear" w:color="000000" w:fill="44546A"/>
            <w:noWrap/>
            <w:hideMark/>
          </w:tcPr>
          <w:p w14:paraId="099A5F13" w14:textId="77777777" w:rsidR="00115695" w:rsidRDefault="00115695">
            <w:pPr>
              <w:rPr>
                <w:rFonts w:ascii="Oracle Sans" w:hAnsi="Oracle Sans" w:cs="Calibri"/>
                <w:b/>
                <w:bCs/>
                <w:color w:val="FFFFFF"/>
                <w:sz w:val="17"/>
                <w:szCs w:val="17"/>
              </w:rPr>
            </w:pPr>
            <w:r>
              <w:rPr>
                <w:rFonts w:ascii="Oracle Sans" w:hAnsi="Oracle Sans" w:cs="Calibri"/>
                <w:b/>
                <w:bCs/>
                <w:color w:val="FFFFFF"/>
                <w:sz w:val="17"/>
                <w:szCs w:val="17"/>
              </w:rPr>
              <w:t>                                           Crédito (exportaciones)</w:t>
            </w:r>
          </w:p>
        </w:tc>
        <w:tc>
          <w:tcPr>
            <w:tcW w:w="1300" w:type="dxa"/>
            <w:tcBorders>
              <w:top w:val="nil"/>
              <w:left w:val="nil"/>
              <w:bottom w:val="single" w:sz="4" w:space="0" w:color="161513"/>
              <w:right w:val="single" w:sz="4" w:space="0" w:color="161513"/>
            </w:tcBorders>
            <w:shd w:val="clear" w:color="FFFFFF" w:fill="FFFFFF"/>
            <w:noWrap/>
            <w:vAlign w:val="center"/>
            <w:hideMark/>
          </w:tcPr>
          <w:p w14:paraId="023E1E4C" w14:textId="77777777" w:rsidR="00115695" w:rsidRDefault="00115695">
            <w:pPr>
              <w:jc w:val="right"/>
              <w:rPr>
                <w:rFonts w:ascii="Oracle Sans" w:hAnsi="Oracle Sans" w:cs="Calibri"/>
                <w:sz w:val="15"/>
                <w:szCs w:val="15"/>
              </w:rPr>
            </w:pPr>
            <w:r>
              <w:rPr>
                <w:rFonts w:ascii="Oracle Sans" w:hAnsi="Oracle Sans" w:cs="Calibri"/>
                <w:sz w:val="15"/>
                <w:szCs w:val="15"/>
              </w:rPr>
              <w:t>18.037,11</w:t>
            </w:r>
          </w:p>
        </w:tc>
        <w:tc>
          <w:tcPr>
            <w:tcW w:w="1300" w:type="dxa"/>
            <w:tcBorders>
              <w:top w:val="nil"/>
              <w:left w:val="nil"/>
              <w:bottom w:val="single" w:sz="4" w:space="0" w:color="161513"/>
              <w:right w:val="single" w:sz="4" w:space="0" w:color="161513"/>
            </w:tcBorders>
            <w:shd w:val="clear" w:color="FFFFFF" w:fill="FFFFFF"/>
            <w:noWrap/>
            <w:vAlign w:val="center"/>
            <w:hideMark/>
          </w:tcPr>
          <w:p w14:paraId="241CEB2B" w14:textId="77777777" w:rsidR="00115695" w:rsidRDefault="00115695">
            <w:pPr>
              <w:jc w:val="right"/>
              <w:rPr>
                <w:rFonts w:ascii="Oracle Sans" w:hAnsi="Oracle Sans" w:cs="Calibri"/>
                <w:sz w:val="15"/>
                <w:szCs w:val="15"/>
              </w:rPr>
            </w:pPr>
            <w:r>
              <w:rPr>
                <w:rFonts w:ascii="Oracle Sans" w:hAnsi="Oracle Sans" w:cs="Calibri"/>
                <w:sz w:val="15"/>
                <w:szCs w:val="15"/>
              </w:rPr>
              <w:t>19.586,68</w:t>
            </w:r>
          </w:p>
        </w:tc>
        <w:tc>
          <w:tcPr>
            <w:tcW w:w="1960" w:type="dxa"/>
            <w:tcBorders>
              <w:top w:val="nil"/>
              <w:left w:val="nil"/>
              <w:bottom w:val="single" w:sz="4" w:space="0" w:color="161513"/>
              <w:right w:val="single" w:sz="4" w:space="0" w:color="161513"/>
            </w:tcBorders>
            <w:shd w:val="clear" w:color="FFFFFF" w:fill="FFFFFF"/>
            <w:noWrap/>
            <w:vAlign w:val="center"/>
            <w:hideMark/>
          </w:tcPr>
          <w:p w14:paraId="0476A998" w14:textId="77777777" w:rsidR="00115695" w:rsidRDefault="00115695">
            <w:pPr>
              <w:jc w:val="right"/>
              <w:rPr>
                <w:rFonts w:ascii="Oracle Sans" w:hAnsi="Oracle Sans" w:cs="Calibri"/>
                <w:sz w:val="15"/>
                <w:szCs w:val="15"/>
              </w:rPr>
            </w:pPr>
            <w:r>
              <w:rPr>
                <w:rFonts w:ascii="Oracle Sans" w:hAnsi="Oracle Sans" w:cs="Calibri"/>
                <w:sz w:val="15"/>
                <w:szCs w:val="15"/>
              </w:rPr>
              <w:t>1.549,57</w:t>
            </w:r>
          </w:p>
        </w:tc>
      </w:tr>
      <w:tr w:rsidR="00115695" w14:paraId="4215589D" w14:textId="77777777" w:rsidTr="00115695">
        <w:trPr>
          <w:trHeight w:val="300"/>
        </w:trPr>
        <w:tc>
          <w:tcPr>
            <w:tcW w:w="4568" w:type="dxa"/>
            <w:tcBorders>
              <w:top w:val="nil"/>
              <w:left w:val="nil"/>
              <w:bottom w:val="single" w:sz="4" w:space="0" w:color="161513"/>
              <w:right w:val="nil"/>
            </w:tcBorders>
            <w:shd w:val="clear" w:color="000000" w:fill="44546A"/>
            <w:noWrap/>
            <w:hideMark/>
          </w:tcPr>
          <w:p w14:paraId="7063C6D2" w14:textId="77777777" w:rsidR="00115695" w:rsidRDefault="00115695">
            <w:pPr>
              <w:rPr>
                <w:rFonts w:ascii="Oracle Sans" w:hAnsi="Oracle Sans" w:cs="Calibri"/>
                <w:b/>
                <w:bCs/>
                <w:color w:val="FFFFFF"/>
                <w:sz w:val="17"/>
                <w:szCs w:val="17"/>
              </w:rPr>
            </w:pPr>
            <w:r>
              <w:rPr>
                <w:rFonts w:ascii="Oracle Sans" w:hAnsi="Oracle Sans" w:cs="Calibri"/>
                <w:b/>
                <w:bCs/>
                <w:color w:val="FFFFFF"/>
                <w:sz w:val="17"/>
                <w:szCs w:val="17"/>
              </w:rPr>
              <w:t>                                           Débito (importaciones)</w:t>
            </w:r>
          </w:p>
        </w:tc>
        <w:tc>
          <w:tcPr>
            <w:tcW w:w="1300" w:type="dxa"/>
            <w:tcBorders>
              <w:top w:val="nil"/>
              <w:left w:val="nil"/>
              <w:bottom w:val="single" w:sz="4" w:space="0" w:color="161513"/>
              <w:right w:val="single" w:sz="4" w:space="0" w:color="161513"/>
            </w:tcBorders>
            <w:shd w:val="clear" w:color="FFFFFF" w:fill="FFFFFF"/>
            <w:noWrap/>
            <w:vAlign w:val="center"/>
            <w:hideMark/>
          </w:tcPr>
          <w:p w14:paraId="3ECF6538" w14:textId="77777777" w:rsidR="00115695" w:rsidRDefault="00115695">
            <w:pPr>
              <w:jc w:val="right"/>
              <w:rPr>
                <w:rFonts w:ascii="Oracle Sans" w:hAnsi="Oracle Sans" w:cs="Calibri"/>
                <w:sz w:val="15"/>
                <w:szCs w:val="15"/>
              </w:rPr>
            </w:pPr>
            <w:r>
              <w:rPr>
                <w:rFonts w:ascii="Oracle Sans" w:hAnsi="Oracle Sans" w:cs="Calibri"/>
                <w:sz w:val="15"/>
                <w:szCs w:val="15"/>
              </w:rPr>
              <w:t>18.563,83</w:t>
            </w:r>
          </w:p>
        </w:tc>
        <w:tc>
          <w:tcPr>
            <w:tcW w:w="1300" w:type="dxa"/>
            <w:tcBorders>
              <w:top w:val="nil"/>
              <w:left w:val="nil"/>
              <w:bottom w:val="single" w:sz="4" w:space="0" w:color="161513"/>
              <w:right w:val="single" w:sz="4" w:space="0" w:color="161513"/>
            </w:tcBorders>
            <w:shd w:val="clear" w:color="FFFFFF" w:fill="FFFFFF"/>
            <w:noWrap/>
            <w:vAlign w:val="center"/>
            <w:hideMark/>
          </w:tcPr>
          <w:p w14:paraId="356AE3A5" w14:textId="77777777" w:rsidR="00115695" w:rsidRDefault="00115695">
            <w:pPr>
              <w:jc w:val="right"/>
              <w:rPr>
                <w:rFonts w:ascii="Oracle Sans" w:hAnsi="Oracle Sans" w:cs="Calibri"/>
                <w:sz w:val="15"/>
                <w:szCs w:val="15"/>
              </w:rPr>
            </w:pPr>
            <w:r>
              <w:rPr>
                <w:rFonts w:ascii="Oracle Sans" w:hAnsi="Oracle Sans" w:cs="Calibri"/>
                <w:sz w:val="15"/>
                <w:szCs w:val="15"/>
              </w:rPr>
              <w:t>19.625,70</w:t>
            </w:r>
          </w:p>
        </w:tc>
        <w:tc>
          <w:tcPr>
            <w:tcW w:w="1960" w:type="dxa"/>
            <w:tcBorders>
              <w:top w:val="nil"/>
              <w:left w:val="nil"/>
              <w:bottom w:val="single" w:sz="4" w:space="0" w:color="161513"/>
              <w:right w:val="single" w:sz="4" w:space="0" w:color="161513"/>
            </w:tcBorders>
            <w:shd w:val="clear" w:color="FFFFFF" w:fill="FFFFFF"/>
            <w:noWrap/>
            <w:vAlign w:val="center"/>
            <w:hideMark/>
          </w:tcPr>
          <w:p w14:paraId="60AC03A9" w14:textId="77777777" w:rsidR="00115695" w:rsidRDefault="00115695">
            <w:pPr>
              <w:jc w:val="right"/>
              <w:rPr>
                <w:rFonts w:ascii="Oracle Sans" w:hAnsi="Oracle Sans" w:cs="Calibri"/>
                <w:sz w:val="15"/>
                <w:szCs w:val="15"/>
              </w:rPr>
            </w:pPr>
            <w:r>
              <w:rPr>
                <w:rFonts w:ascii="Oracle Sans" w:hAnsi="Oracle Sans" w:cs="Calibri"/>
                <w:sz w:val="15"/>
                <w:szCs w:val="15"/>
              </w:rPr>
              <w:t>1.061,87</w:t>
            </w:r>
          </w:p>
        </w:tc>
      </w:tr>
      <w:tr w:rsidR="00115695" w14:paraId="3297471B" w14:textId="77777777" w:rsidTr="00115695">
        <w:trPr>
          <w:trHeight w:val="300"/>
        </w:trPr>
        <w:tc>
          <w:tcPr>
            <w:tcW w:w="4568" w:type="dxa"/>
            <w:tcBorders>
              <w:top w:val="nil"/>
              <w:left w:val="nil"/>
              <w:bottom w:val="single" w:sz="4" w:space="0" w:color="161513"/>
              <w:right w:val="nil"/>
            </w:tcBorders>
            <w:shd w:val="clear" w:color="000000" w:fill="44546A"/>
            <w:noWrap/>
            <w:hideMark/>
          </w:tcPr>
          <w:p w14:paraId="47F5604B" w14:textId="77777777" w:rsidR="00115695" w:rsidRDefault="00115695">
            <w:pPr>
              <w:rPr>
                <w:rFonts w:ascii="Oracle Sans" w:hAnsi="Oracle Sans" w:cs="Calibri"/>
                <w:b/>
                <w:bCs/>
                <w:color w:val="FFFFFF"/>
                <w:sz w:val="17"/>
                <w:szCs w:val="17"/>
              </w:rPr>
            </w:pPr>
            <w:r>
              <w:rPr>
                <w:rFonts w:ascii="Oracle Sans" w:hAnsi="Oracle Sans" w:cs="Calibri"/>
                <w:b/>
                <w:bCs/>
                <w:color w:val="FFFFFF"/>
                <w:sz w:val="17"/>
                <w:szCs w:val="17"/>
              </w:rPr>
              <w:t>                      Ingreso primario (Renta factorial)</w:t>
            </w:r>
          </w:p>
        </w:tc>
        <w:tc>
          <w:tcPr>
            <w:tcW w:w="1300" w:type="dxa"/>
            <w:tcBorders>
              <w:top w:val="nil"/>
              <w:left w:val="nil"/>
              <w:bottom w:val="single" w:sz="4" w:space="0" w:color="161513"/>
              <w:right w:val="single" w:sz="4" w:space="0" w:color="161513"/>
            </w:tcBorders>
            <w:shd w:val="clear" w:color="FFFFFF" w:fill="FFFFFF"/>
            <w:noWrap/>
            <w:vAlign w:val="center"/>
            <w:hideMark/>
          </w:tcPr>
          <w:p w14:paraId="2B7BEE3F" w14:textId="77777777" w:rsidR="00115695" w:rsidRDefault="00115695">
            <w:pPr>
              <w:jc w:val="right"/>
              <w:rPr>
                <w:rFonts w:ascii="Oracle Sans" w:hAnsi="Oracle Sans" w:cs="Calibri"/>
                <w:sz w:val="15"/>
                <w:szCs w:val="15"/>
              </w:rPr>
            </w:pPr>
            <w:r>
              <w:rPr>
                <w:rFonts w:ascii="Oracle Sans" w:hAnsi="Oracle Sans" w:cs="Calibri"/>
                <w:sz w:val="15"/>
                <w:szCs w:val="15"/>
              </w:rPr>
              <w:t>-12.837,02</w:t>
            </w:r>
          </w:p>
        </w:tc>
        <w:tc>
          <w:tcPr>
            <w:tcW w:w="1300" w:type="dxa"/>
            <w:tcBorders>
              <w:top w:val="nil"/>
              <w:left w:val="nil"/>
              <w:bottom w:val="single" w:sz="4" w:space="0" w:color="161513"/>
              <w:right w:val="single" w:sz="4" w:space="0" w:color="161513"/>
            </w:tcBorders>
            <w:shd w:val="clear" w:color="FFFFFF" w:fill="FFFFFF"/>
            <w:noWrap/>
            <w:vAlign w:val="center"/>
            <w:hideMark/>
          </w:tcPr>
          <w:p w14:paraId="4C6FA7ED" w14:textId="77777777" w:rsidR="00115695" w:rsidRDefault="00115695">
            <w:pPr>
              <w:jc w:val="right"/>
              <w:rPr>
                <w:rFonts w:ascii="Oracle Sans" w:hAnsi="Oracle Sans" w:cs="Calibri"/>
                <w:sz w:val="15"/>
                <w:szCs w:val="15"/>
              </w:rPr>
            </w:pPr>
            <w:r>
              <w:rPr>
                <w:rFonts w:ascii="Oracle Sans" w:hAnsi="Oracle Sans" w:cs="Calibri"/>
                <w:sz w:val="15"/>
                <w:szCs w:val="15"/>
              </w:rPr>
              <w:t>-12.445,96</w:t>
            </w:r>
          </w:p>
        </w:tc>
        <w:tc>
          <w:tcPr>
            <w:tcW w:w="1960" w:type="dxa"/>
            <w:tcBorders>
              <w:top w:val="nil"/>
              <w:left w:val="nil"/>
              <w:bottom w:val="single" w:sz="4" w:space="0" w:color="161513"/>
              <w:right w:val="single" w:sz="4" w:space="0" w:color="161513"/>
            </w:tcBorders>
            <w:shd w:val="clear" w:color="FFFFFF" w:fill="FFFFFF"/>
            <w:noWrap/>
            <w:vAlign w:val="center"/>
            <w:hideMark/>
          </w:tcPr>
          <w:p w14:paraId="7289FC0C" w14:textId="77777777" w:rsidR="00115695" w:rsidRDefault="00115695">
            <w:pPr>
              <w:jc w:val="right"/>
              <w:rPr>
                <w:rFonts w:ascii="Oracle Sans" w:hAnsi="Oracle Sans" w:cs="Calibri"/>
                <w:sz w:val="15"/>
                <w:szCs w:val="15"/>
              </w:rPr>
            </w:pPr>
            <w:r>
              <w:rPr>
                <w:rFonts w:ascii="Oracle Sans" w:hAnsi="Oracle Sans" w:cs="Calibri"/>
                <w:sz w:val="15"/>
                <w:szCs w:val="15"/>
              </w:rPr>
              <w:t>391,07</w:t>
            </w:r>
          </w:p>
        </w:tc>
      </w:tr>
      <w:tr w:rsidR="00115695" w14:paraId="354FCD1E" w14:textId="77777777" w:rsidTr="00115695">
        <w:trPr>
          <w:trHeight w:val="300"/>
        </w:trPr>
        <w:tc>
          <w:tcPr>
            <w:tcW w:w="4568" w:type="dxa"/>
            <w:tcBorders>
              <w:top w:val="nil"/>
              <w:left w:val="nil"/>
              <w:bottom w:val="single" w:sz="4" w:space="0" w:color="161513"/>
              <w:right w:val="nil"/>
            </w:tcBorders>
            <w:shd w:val="clear" w:color="000000" w:fill="44546A"/>
            <w:noWrap/>
            <w:hideMark/>
          </w:tcPr>
          <w:p w14:paraId="708F9C1D" w14:textId="77777777" w:rsidR="00115695" w:rsidRDefault="00115695">
            <w:pPr>
              <w:rPr>
                <w:rFonts w:ascii="Oracle Sans" w:hAnsi="Oracle Sans" w:cs="Calibri"/>
                <w:b/>
                <w:bCs/>
                <w:color w:val="FFFFFF"/>
                <w:sz w:val="17"/>
                <w:szCs w:val="17"/>
              </w:rPr>
            </w:pPr>
            <w:r>
              <w:rPr>
                <w:rFonts w:ascii="Oracle Sans" w:hAnsi="Oracle Sans" w:cs="Calibri"/>
                <w:b/>
                <w:bCs/>
                <w:color w:val="FFFFFF"/>
                <w:sz w:val="17"/>
                <w:szCs w:val="17"/>
              </w:rPr>
              <w:t>                             Crédito</w:t>
            </w:r>
          </w:p>
        </w:tc>
        <w:tc>
          <w:tcPr>
            <w:tcW w:w="1300" w:type="dxa"/>
            <w:tcBorders>
              <w:top w:val="nil"/>
              <w:left w:val="nil"/>
              <w:bottom w:val="single" w:sz="4" w:space="0" w:color="161513"/>
              <w:right w:val="single" w:sz="4" w:space="0" w:color="161513"/>
            </w:tcBorders>
            <w:shd w:val="clear" w:color="FFFFFF" w:fill="FFFFFF"/>
            <w:noWrap/>
            <w:vAlign w:val="center"/>
            <w:hideMark/>
          </w:tcPr>
          <w:p w14:paraId="50650569" w14:textId="77777777" w:rsidR="00115695" w:rsidRDefault="00115695">
            <w:pPr>
              <w:jc w:val="right"/>
              <w:rPr>
                <w:rFonts w:ascii="Oracle Sans" w:hAnsi="Oracle Sans" w:cs="Calibri"/>
                <w:sz w:val="15"/>
                <w:szCs w:val="15"/>
              </w:rPr>
            </w:pPr>
            <w:r>
              <w:rPr>
                <w:rFonts w:ascii="Oracle Sans" w:hAnsi="Oracle Sans" w:cs="Calibri"/>
                <w:sz w:val="15"/>
                <w:szCs w:val="15"/>
              </w:rPr>
              <w:t>9.484,33</w:t>
            </w:r>
          </w:p>
        </w:tc>
        <w:tc>
          <w:tcPr>
            <w:tcW w:w="1300" w:type="dxa"/>
            <w:tcBorders>
              <w:top w:val="nil"/>
              <w:left w:val="nil"/>
              <w:bottom w:val="single" w:sz="4" w:space="0" w:color="161513"/>
              <w:right w:val="single" w:sz="4" w:space="0" w:color="161513"/>
            </w:tcBorders>
            <w:shd w:val="clear" w:color="FFFFFF" w:fill="FFFFFF"/>
            <w:noWrap/>
            <w:vAlign w:val="center"/>
            <w:hideMark/>
          </w:tcPr>
          <w:p w14:paraId="4E8D772B" w14:textId="77777777" w:rsidR="00115695" w:rsidRDefault="00115695">
            <w:pPr>
              <w:jc w:val="right"/>
              <w:rPr>
                <w:rFonts w:ascii="Oracle Sans" w:hAnsi="Oracle Sans" w:cs="Calibri"/>
                <w:sz w:val="15"/>
                <w:szCs w:val="15"/>
              </w:rPr>
            </w:pPr>
            <w:r>
              <w:rPr>
                <w:rFonts w:ascii="Oracle Sans" w:hAnsi="Oracle Sans" w:cs="Calibri"/>
                <w:sz w:val="15"/>
                <w:szCs w:val="15"/>
              </w:rPr>
              <w:t>9.832,21</w:t>
            </w:r>
          </w:p>
        </w:tc>
        <w:tc>
          <w:tcPr>
            <w:tcW w:w="1960" w:type="dxa"/>
            <w:tcBorders>
              <w:top w:val="nil"/>
              <w:left w:val="nil"/>
              <w:bottom w:val="single" w:sz="4" w:space="0" w:color="161513"/>
              <w:right w:val="single" w:sz="4" w:space="0" w:color="161513"/>
            </w:tcBorders>
            <w:shd w:val="clear" w:color="FFFFFF" w:fill="FFFFFF"/>
            <w:noWrap/>
            <w:vAlign w:val="center"/>
            <w:hideMark/>
          </w:tcPr>
          <w:p w14:paraId="24218749" w14:textId="77777777" w:rsidR="00115695" w:rsidRDefault="00115695">
            <w:pPr>
              <w:jc w:val="right"/>
              <w:rPr>
                <w:rFonts w:ascii="Oracle Sans" w:hAnsi="Oracle Sans" w:cs="Calibri"/>
                <w:sz w:val="15"/>
                <w:szCs w:val="15"/>
              </w:rPr>
            </w:pPr>
            <w:r>
              <w:rPr>
                <w:rFonts w:ascii="Oracle Sans" w:hAnsi="Oracle Sans" w:cs="Calibri"/>
                <w:sz w:val="15"/>
                <w:szCs w:val="15"/>
              </w:rPr>
              <w:t>347,87</w:t>
            </w:r>
          </w:p>
        </w:tc>
      </w:tr>
      <w:tr w:rsidR="00115695" w14:paraId="1D8B4B8C" w14:textId="77777777" w:rsidTr="00115695">
        <w:trPr>
          <w:trHeight w:val="300"/>
        </w:trPr>
        <w:tc>
          <w:tcPr>
            <w:tcW w:w="4568" w:type="dxa"/>
            <w:tcBorders>
              <w:top w:val="nil"/>
              <w:left w:val="nil"/>
              <w:bottom w:val="single" w:sz="4" w:space="0" w:color="161513"/>
              <w:right w:val="nil"/>
            </w:tcBorders>
            <w:shd w:val="clear" w:color="000000" w:fill="44546A"/>
            <w:noWrap/>
            <w:hideMark/>
          </w:tcPr>
          <w:p w14:paraId="517CCA52" w14:textId="77777777" w:rsidR="00115695" w:rsidRDefault="00115695">
            <w:pPr>
              <w:rPr>
                <w:rFonts w:ascii="Oracle Sans" w:hAnsi="Oracle Sans" w:cs="Calibri"/>
                <w:b/>
                <w:bCs/>
                <w:color w:val="FFFFFF"/>
                <w:sz w:val="17"/>
                <w:szCs w:val="17"/>
              </w:rPr>
            </w:pPr>
            <w:r>
              <w:rPr>
                <w:rFonts w:ascii="Oracle Sans" w:hAnsi="Oracle Sans" w:cs="Calibri"/>
                <w:b/>
                <w:bCs/>
                <w:color w:val="FFFFFF"/>
                <w:sz w:val="17"/>
                <w:szCs w:val="17"/>
              </w:rPr>
              <w:t>                             Débito</w:t>
            </w:r>
          </w:p>
        </w:tc>
        <w:tc>
          <w:tcPr>
            <w:tcW w:w="1300" w:type="dxa"/>
            <w:tcBorders>
              <w:top w:val="nil"/>
              <w:left w:val="nil"/>
              <w:bottom w:val="single" w:sz="4" w:space="0" w:color="161513"/>
              <w:right w:val="single" w:sz="4" w:space="0" w:color="161513"/>
            </w:tcBorders>
            <w:shd w:val="clear" w:color="FFFFFF" w:fill="FFFFFF"/>
            <w:noWrap/>
            <w:vAlign w:val="center"/>
            <w:hideMark/>
          </w:tcPr>
          <w:p w14:paraId="3B6A7E23" w14:textId="77777777" w:rsidR="00115695" w:rsidRDefault="00115695">
            <w:pPr>
              <w:jc w:val="right"/>
              <w:rPr>
                <w:rFonts w:ascii="Oracle Sans" w:hAnsi="Oracle Sans" w:cs="Calibri"/>
                <w:sz w:val="15"/>
                <w:szCs w:val="15"/>
              </w:rPr>
            </w:pPr>
            <w:r>
              <w:rPr>
                <w:rFonts w:ascii="Oracle Sans" w:hAnsi="Oracle Sans" w:cs="Calibri"/>
                <w:sz w:val="15"/>
                <w:szCs w:val="15"/>
              </w:rPr>
              <w:t>22.321,36</w:t>
            </w:r>
          </w:p>
        </w:tc>
        <w:tc>
          <w:tcPr>
            <w:tcW w:w="1300" w:type="dxa"/>
            <w:tcBorders>
              <w:top w:val="nil"/>
              <w:left w:val="nil"/>
              <w:bottom w:val="single" w:sz="4" w:space="0" w:color="161513"/>
              <w:right w:val="single" w:sz="4" w:space="0" w:color="161513"/>
            </w:tcBorders>
            <w:shd w:val="clear" w:color="FFFFFF" w:fill="FFFFFF"/>
            <w:noWrap/>
            <w:vAlign w:val="center"/>
            <w:hideMark/>
          </w:tcPr>
          <w:p w14:paraId="7F75D017" w14:textId="77777777" w:rsidR="00115695" w:rsidRDefault="00115695">
            <w:pPr>
              <w:jc w:val="right"/>
              <w:rPr>
                <w:rFonts w:ascii="Oracle Sans" w:hAnsi="Oracle Sans" w:cs="Calibri"/>
                <w:sz w:val="15"/>
                <w:szCs w:val="15"/>
              </w:rPr>
            </w:pPr>
            <w:r>
              <w:rPr>
                <w:rFonts w:ascii="Oracle Sans" w:hAnsi="Oracle Sans" w:cs="Calibri"/>
                <w:sz w:val="15"/>
                <w:szCs w:val="15"/>
              </w:rPr>
              <w:t>22.278,16</w:t>
            </w:r>
          </w:p>
        </w:tc>
        <w:tc>
          <w:tcPr>
            <w:tcW w:w="1960" w:type="dxa"/>
            <w:tcBorders>
              <w:top w:val="nil"/>
              <w:left w:val="nil"/>
              <w:bottom w:val="single" w:sz="4" w:space="0" w:color="161513"/>
              <w:right w:val="single" w:sz="4" w:space="0" w:color="161513"/>
            </w:tcBorders>
            <w:shd w:val="clear" w:color="FFFFFF" w:fill="FFFFFF"/>
            <w:noWrap/>
            <w:vAlign w:val="center"/>
            <w:hideMark/>
          </w:tcPr>
          <w:p w14:paraId="65BCF837" w14:textId="77777777" w:rsidR="00115695" w:rsidRDefault="00115695">
            <w:pPr>
              <w:jc w:val="right"/>
              <w:rPr>
                <w:rFonts w:ascii="Oracle Sans" w:hAnsi="Oracle Sans" w:cs="Calibri"/>
                <w:sz w:val="15"/>
                <w:szCs w:val="15"/>
              </w:rPr>
            </w:pPr>
            <w:r>
              <w:rPr>
                <w:rFonts w:ascii="Oracle Sans" w:hAnsi="Oracle Sans" w:cs="Calibri"/>
                <w:sz w:val="15"/>
                <w:szCs w:val="15"/>
              </w:rPr>
              <w:t>-43,19</w:t>
            </w:r>
          </w:p>
        </w:tc>
      </w:tr>
      <w:tr w:rsidR="00115695" w14:paraId="64DE25CD" w14:textId="77777777" w:rsidTr="00115695">
        <w:trPr>
          <w:trHeight w:val="300"/>
        </w:trPr>
        <w:tc>
          <w:tcPr>
            <w:tcW w:w="4568" w:type="dxa"/>
            <w:tcBorders>
              <w:top w:val="nil"/>
              <w:left w:val="nil"/>
              <w:bottom w:val="single" w:sz="4" w:space="0" w:color="161513"/>
              <w:right w:val="nil"/>
            </w:tcBorders>
            <w:shd w:val="clear" w:color="000000" w:fill="44546A"/>
            <w:noWrap/>
            <w:hideMark/>
          </w:tcPr>
          <w:p w14:paraId="03DDED1D" w14:textId="77777777" w:rsidR="00115695" w:rsidRDefault="00115695">
            <w:pPr>
              <w:rPr>
                <w:rFonts w:ascii="Oracle Sans" w:hAnsi="Oracle Sans" w:cs="Calibri"/>
                <w:b/>
                <w:bCs/>
                <w:color w:val="FFFFFF"/>
                <w:sz w:val="17"/>
                <w:szCs w:val="17"/>
              </w:rPr>
            </w:pPr>
            <w:r>
              <w:rPr>
                <w:rFonts w:ascii="Oracle Sans" w:hAnsi="Oracle Sans" w:cs="Calibri"/>
                <w:b/>
                <w:bCs/>
                <w:color w:val="FFFFFF"/>
                <w:sz w:val="17"/>
                <w:szCs w:val="17"/>
              </w:rPr>
              <w:t>                       Ingreso secundario (Transferencias corrientes)</w:t>
            </w:r>
          </w:p>
        </w:tc>
        <w:tc>
          <w:tcPr>
            <w:tcW w:w="1300" w:type="dxa"/>
            <w:tcBorders>
              <w:top w:val="nil"/>
              <w:left w:val="nil"/>
              <w:bottom w:val="single" w:sz="4" w:space="0" w:color="161513"/>
              <w:right w:val="single" w:sz="4" w:space="0" w:color="161513"/>
            </w:tcBorders>
            <w:shd w:val="clear" w:color="FFFFFF" w:fill="FFFFFF"/>
            <w:noWrap/>
            <w:vAlign w:val="center"/>
            <w:hideMark/>
          </w:tcPr>
          <w:p w14:paraId="73DE2E4D" w14:textId="77777777" w:rsidR="00115695" w:rsidRDefault="00115695">
            <w:pPr>
              <w:jc w:val="right"/>
              <w:rPr>
                <w:rFonts w:ascii="Oracle Sans" w:hAnsi="Oracle Sans" w:cs="Calibri"/>
                <w:sz w:val="15"/>
                <w:szCs w:val="15"/>
              </w:rPr>
            </w:pPr>
            <w:r>
              <w:rPr>
                <w:rFonts w:ascii="Oracle Sans" w:hAnsi="Oracle Sans" w:cs="Calibri"/>
                <w:sz w:val="15"/>
                <w:szCs w:val="15"/>
              </w:rPr>
              <w:t>15.507,16</w:t>
            </w:r>
          </w:p>
        </w:tc>
        <w:tc>
          <w:tcPr>
            <w:tcW w:w="1300" w:type="dxa"/>
            <w:tcBorders>
              <w:top w:val="nil"/>
              <w:left w:val="nil"/>
              <w:bottom w:val="single" w:sz="4" w:space="0" w:color="161513"/>
              <w:right w:val="single" w:sz="4" w:space="0" w:color="161513"/>
            </w:tcBorders>
            <w:shd w:val="clear" w:color="FFFFFF" w:fill="FFFFFF"/>
            <w:noWrap/>
            <w:vAlign w:val="center"/>
            <w:hideMark/>
          </w:tcPr>
          <w:p w14:paraId="2DA325BA" w14:textId="77777777" w:rsidR="00115695" w:rsidRDefault="00115695">
            <w:pPr>
              <w:jc w:val="right"/>
              <w:rPr>
                <w:rFonts w:ascii="Oracle Sans" w:hAnsi="Oracle Sans" w:cs="Calibri"/>
                <w:sz w:val="15"/>
                <w:szCs w:val="15"/>
              </w:rPr>
            </w:pPr>
            <w:r>
              <w:rPr>
                <w:rFonts w:ascii="Oracle Sans" w:hAnsi="Oracle Sans" w:cs="Calibri"/>
                <w:sz w:val="15"/>
                <w:szCs w:val="15"/>
              </w:rPr>
              <w:t>16.434,53</w:t>
            </w:r>
          </w:p>
        </w:tc>
        <w:tc>
          <w:tcPr>
            <w:tcW w:w="1960" w:type="dxa"/>
            <w:tcBorders>
              <w:top w:val="nil"/>
              <w:left w:val="nil"/>
              <w:bottom w:val="single" w:sz="4" w:space="0" w:color="161513"/>
              <w:right w:val="single" w:sz="4" w:space="0" w:color="161513"/>
            </w:tcBorders>
            <w:shd w:val="clear" w:color="FFFFFF" w:fill="FFFFFF"/>
            <w:noWrap/>
            <w:vAlign w:val="center"/>
            <w:hideMark/>
          </w:tcPr>
          <w:p w14:paraId="66EB1DAB" w14:textId="77777777" w:rsidR="00115695" w:rsidRDefault="00115695">
            <w:pPr>
              <w:jc w:val="right"/>
              <w:rPr>
                <w:rFonts w:ascii="Oracle Sans" w:hAnsi="Oracle Sans" w:cs="Calibri"/>
                <w:sz w:val="15"/>
                <w:szCs w:val="15"/>
              </w:rPr>
            </w:pPr>
            <w:r>
              <w:rPr>
                <w:rFonts w:ascii="Oracle Sans" w:hAnsi="Oracle Sans" w:cs="Calibri"/>
                <w:sz w:val="15"/>
                <w:szCs w:val="15"/>
              </w:rPr>
              <w:t>927,38</w:t>
            </w:r>
          </w:p>
        </w:tc>
      </w:tr>
      <w:tr w:rsidR="00115695" w14:paraId="4404E23E" w14:textId="77777777" w:rsidTr="00115695">
        <w:trPr>
          <w:trHeight w:val="300"/>
        </w:trPr>
        <w:tc>
          <w:tcPr>
            <w:tcW w:w="4568" w:type="dxa"/>
            <w:tcBorders>
              <w:top w:val="nil"/>
              <w:left w:val="nil"/>
              <w:bottom w:val="single" w:sz="4" w:space="0" w:color="161513"/>
              <w:right w:val="nil"/>
            </w:tcBorders>
            <w:shd w:val="clear" w:color="000000" w:fill="44546A"/>
            <w:noWrap/>
            <w:hideMark/>
          </w:tcPr>
          <w:p w14:paraId="395D0CE7" w14:textId="77777777" w:rsidR="00115695" w:rsidRDefault="00115695">
            <w:pPr>
              <w:rPr>
                <w:rFonts w:ascii="Oracle Sans" w:hAnsi="Oracle Sans" w:cs="Calibri"/>
                <w:b/>
                <w:bCs/>
                <w:color w:val="FFFFFF"/>
                <w:sz w:val="17"/>
                <w:szCs w:val="17"/>
              </w:rPr>
            </w:pPr>
            <w:r>
              <w:rPr>
                <w:rFonts w:ascii="Oracle Sans" w:hAnsi="Oracle Sans" w:cs="Calibri"/>
                <w:b/>
                <w:bCs/>
                <w:color w:val="FFFFFF"/>
                <w:sz w:val="17"/>
                <w:szCs w:val="17"/>
              </w:rPr>
              <w:t>                             Crédito</w:t>
            </w:r>
          </w:p>
        </w:tc>
        <w:tc>
          <w:tcPr>
            <w:tcW w:w="1300" w:type="dxa"/>
            <w:tcBorders>
              <w:top w:val="nil"/>
              <w:left w:val="nil"/>
              <w:bottom w:val="single" w:sz="4" w:space="0" w:color="161513"/>
              <w:right w:val="single" w:sz="4" w:space="0" w:color="161513"/>
            </w:tcBorders>
            <w:shd w:val="clear" w:color="FFFFFF" w:fill="FFFFFF"/>
            <w:noWrap/>
            <w:vAlign w:val="center"/>
            <w:hideMark/>
          </w:tcPr>
          <w:p w14:paraId="41C4D52E" w14:textId="77777777" w:rsidR="00115695" w:rsidRDefault="00115695">
            <w:pPr>
              <w:jc w:val="right"/>
              <w:rPr>
                <w:rFonts w:ascii="Oracle Sans" w:hAnsi="Oracle Sans" w:cs="Calibri"/>
                <w:sz w:val="15"/>
                <w:szCs w:val="15"/>
              </w:rPr>
            </w:pPr>
            <w:r>
              <w:rPr>
                <w:rFonts w:ascii="Oracle Sans" w:hAnsi="Oracle Sans" w:cs="Calibri"/>
                <w:sz w:val="15"/>
                <w:szCs w:val="15"/>
              </w:rPr>
              <w:t>17.125,91</w:t>
            </w:r>
          </w:p>
        </w:tc>
        <w:tc>
          <w:tcPr>
            <w:tcW w:w="1300" w:type="dxa"/>
            <w:tcBorders>
              <w:top w:val="nil"/>
              <w:left w:val="nil"/>
              <w:bottom w:val="single" w:sz="4" w:space="0" w:color="161513"/>
              <w:right w:val="single" w:sz="4" w:space="0" w:color="161513"/>
            </w:tcBorders>
            <w:shd w:val="clear" w:color="FFFFFF" w:fill="FFFFFF"/>
            <w:noWrap/>
            <w:vAlign w:val="center"/>
            <w:hideMark/>
          </w:tcPr>
          <w:p w14:paraId="373328B1" w14:textId="77777777" w:rsidR="00115695" w:rsidRDefault="00115695">
            <w:pPr>
              <w:jc w:val="right"/>
              <w:rPr>
                <w:rFonts w:ascii="Oracle Sans" w:hAnsi="Oracle Sans" w:cs="Calibri"/>
                <w:sz w:val="15"/>
                <w:szCs w:val="15"/>
              </w:rPr>
            </w:pPr>
            <w:r>
              <w:rPr>
                <w:rFonts w:ascii="Oracle Sans" w:hAnsi="Oracle Sans" w:cs="Calibri"/>
                <w:sz w:val="15"/>
                <w:szCs w:val="15"/>
              </w:rPr>
              <w:t>17.994,55</w:t>
            </w:r>
          </w:p>
        </w:tc>
        <w:tc>
          <w:tcPr>
            <w:tcW w:w="1960" w:type="dxa"/>
            <w:tcBorders>
              <w:top w:val="nil"/>
              <w:left w:val="nil"/>
              <w:bottom w:val="single" w:sz="4" w:space="0" w:color="161513"/>
              <w:right w:val="single" w:sz="4" w:space="0" w:color="161513"/>
            </w:tcBorders>
            <w:shd w:val="clear" w:color="FFFFFF" w:fill="FFFFFF"/>
            <w:noWrap/>
            <w:vAlign w:val="center"/>
            <w:hideMark/>
          </w:tcPr>
          <w:p w14:paraId="40ACE61E" w14:textId="77777777" w:rsidR="00115695" w:rsidRDefault="00115695">
            <w:pPr>
              <w:jc w:val="right"/>
              <w:rPr>
                <w:rFonts w:ascii="Oracle Sans" w:hAnsi="Oracle Sans" w:cs="Calibri"/>
                <w:sz w:val="15"/>
                <w:szCs w:val="15"/>
              </w:rPr>
            </w:pPr>
            <w:r>
              <w:rPr>
                <w:rFonts w:ascii="Oracle Sans" w:hAnsi="Oracle Sans" w:cs="Calibri"/>
                <w:sz w:val="15"/>
                <w:szCs w:val="15"/>
              </w:rPr>
              <w:t>868,64</w:t>
            </w:r>
          </w:p>
        </w:tc>
      </w:tr>
      <w:tr w:rsidR="00115695" w14:paraId="48D6AF97" w14:textId="77777777" w:rsidTr="00115695">
        <w:trPr>
          <w:trHeight w:val="300"/>
        </w:trPr>
        <w:tc>
          <w:tcPr>
            <w:tcW w:w="4568" w:type="dxa"/>
            <w:tcBorders>
              <w:top w:val="nil"/>
              <w:left w:val="nil"/>
              <w:bottom w:val="single" w:sz="4" w:space="0" w:color="161513"/>
              <w:right w:val="nil"/>
            </w:tcBorders>
            <w:shd w:val="clear" w:color="000000" w:fill="44546A"/>
            <w:noWrap/>
            <w:hideMark/>
          </w:tcPr>
          <w:p w14:paraId="0A683A18" w14:textId="77777777" w:rsidR="00115695" w:rsidRDefault="00115695">
            <w:pPr>
              <w:rPr>
                <w:rFonts w:ascii="Oracle Sans" w:hAnsi="Oracle Sans" w:cs="Calibri"/>
                <w:b/>
                <w:bCs/>
                <w:color w:val="FFFFFF"/>
                <w:sz w:val="17"/>
                <w:szCs w:val="17"/>
              </w:rPr>
            </w:pPr>
            <w:r>
              <w:rPr>
                <w:rFonts w:ascii="Oracle Sans" w:hAnsi="Oracle Sans" w:cs="Calibri"/>
                <w:b/>
                <w:bCs/>
                <w:color w:val="FFFFFF"/>
                <w:sz w:val="17"/>
                <w:szCs w:val="17"/>
              </w:rPr>
              <w:t>                             Débito</w:t>
            </w:r>
          </w:p>
        </w:tc>
        <w:tc>
          <w:tcPr>
            <w:tcW w:w="1300" w:type="dxa"/>
            <w:tcBorders>
              <w:top w:val="nil"/>
              <w:left w:val="nil"/>
              <w:bottom w:val="single" w:sz="4" w:space="0" w:color="161513"/>
              <w:right w:val="single" w:sz="4" w:space="0" w:color="161513"/>
            </w:tcBorders>
            <w:shd w:val="clear" w:color="FFFFFF" w:fill="FFFFFF"/>
            <w:noWrap/>
            <w:vAlign w:val="center"/>
            <w:hideMark/>
          </w:tcPr>
          <w:p w14:paraId="5B896ED4" w14:textId="77777777" w:rsidR="00115695" w:rsidRDefault="00115695">
            <w:pPr>
              <w:jc w:val="right"/>
              <w:rPr>
                <w:rFonts w:ascii="Oracle Sans" w:hAnsi="Oracle Sans" w:cs="Calibri"/>
                <w:sz w:val="15"/>
                <w:szCs w:val="15"/>
              </w:rPr>
            </w:pPr>
            <w:r>
              <w:rPr>
                <w:rFonts w:ascii="Oracle Sans" w:hAnsi="Oracle Sans" w:cs="Calibri"/>
                <w:sz w:val="15"/>
                <w:szCs w:val="15"/>
              </w:rPr>
              <w:t>1.618,76</w:t>
            </w:r>
          </w:p>
        </w:tc>
        <w:tc>
          <w:tcPr>
            <w:tcW w:w="1300" w:type="dxa"/>
            <w:tcBorders>
              <w:top w:val="nil"/>
              <w:left w:val="nil"/>
              <w:bottom w:val="single" w:sz="4" w:space="0" w:color="161513"/>
              <w:right w:val="single" w:sz="4" w:space="0" w:color="161513"/>
            </w:tcBorders>
            <w:shd w:val="clear" w:color="FFFFFF" w:fill="FFFFFF"/>
            <w:noWrap/>
            <w:vAlign w:val="center"/>
            <w:hideMark/>
          </w:tcPr>
          <w:p w14:paraId="426D9920" w14:textId="77777777" w:rsidR="00115695" w:rsidRDefault="00115695">
            <w:pPr>
              <w:jc w:val="right"/>
              <w:rPr>
                <w:rFonts w:ascii="Oracle Sans" w:hAnsi="Oracle Sans" w:cs="Calibri"/>
                <w:sz w:val="15"/>
                <w:szCs w:val="15"/>
              </w:rPr>
            </w:pPr>
            <w:r>
              <w:rPr>
                <w:rFonts w:ascii="Oracle Sans" w:hAnsi="Oracle Sans" w:cs="Calibri"/>
                <w:sz w:val="15"/>
                <w:szCs w:val="15"/>
              </w:rPr>
              <w:t>1.560,02</w:t>
            </w:r>
          </w:p>
        </w:tc>
        <w:tc>
          <w:tcPr>
            <w:tcW w:w="1960" w:type="dxa"/>
            <w:tcBorders>
              <w:top w:val="nil"/>
              <w:left w:val="nil"/>
              <w:bottom w:val="single" w:sz="4" w:space="0" w:color="161513"/>
              <w:right w:val="single" w:sz="4" w:space="0" w:color="161513"/>
            </w:tcBorders>
            <w:shd w:val="clear" w:color="FFFFFF" w:fill="FFFFFF"/>
            <w:noWrap/>
            <w:vAlign w:val="center"/>
            <w:hideMark/>
          </w:tcPr>
          <w:p w14:paraId="01983FDD" w14:textId="77777777" w:rsidR="00115695" w:rsidRDefault="00115695">
            <w:pPr>
              <w:jc w:val="right"/>
              <w:rPr>
                <w:rFonts w:ascii="Oracle Sans" w:hAnsi="Oracle Sans" w:cs="Calibri"/>
                <w:sz w:val="15"/>
                <w:szCs w:val="15"/>
              </w:rPr>
            </w:pPr>
            <w:r>
              <w:rPr>
                <w:rFonts w:ascii="Oracle Sans" w:hAnsi="Oracle Sans" w:cs="Calibri"/>
                <w:sz w:val="15"/>
                <w:szCs w:val="15"/>
              </w:rPr>
              <w:t>-58,74</w:t>
            </w:r>
          </w:p>
        </w:tc>
      </w:tr>
    </w:tbl>
    <w:p>
      <w:pPr>
        <w:pStyle w:val="NormalWeb"/>
        <w:spacing w:before="240" w:beforeAutospacing="0" w:after="240" w:afterAutospacing="0" w:line="276" w:lineRule="auto"/>
        <w:rPr>
          <w:rFonts w:ascii="Arial" w:hAnsi="Arial" w:cs="Arial"/>
          <w:sz w:val="22"/>
          <w:szCs w:val="22"/>
          <w:lang w:val="es-ES"/>
        </w:rPr>
      </w:pPr>
      <w:r>
        <w:rPr>
          <w:rFonts w:ascii="Arial" w:hAnsi="Arial" w:cs="Arial"/>
          <w:sz w:val="22"/>
          <w:szCs w:val="22"/>
          <w:lang w:val="es-ES"/>
        </w:rPr>
        <w:t>Fuente: Banco de la República, Balanza de Pagos (2026). p: Preliminar.</w:t>
      </w:r>
    </w:p>
    <w:p>
      <w:pPr>
        <w:pStyle w:val="NormalWeb"/>
        <w:spacing w:before="240" w:beforeAutospacing="0" w:after="240" w:afterAutospacing="0" w:line="276" w:lineRule="auto"/>
        <w:rPr>
          <w:rFonts w:ascii="Arial" w:hAnsi="Arial" w:cs="Arial"/>
          <w:sz w:val="22"/>
          <w:szCs w:val="22"/>
          <w:lang w:val="es-ES"/>
        </w:rPr>
      </w:pPr>
      <w:r>
        <w:rPr>
          <w:rFonts w:ascii="Arial" w:hAnsi="Arial" w:cs="Arial"/>
          <w:sz w:val="22"/>
          <w:szCs w:val="22"/>
          <w:lang w:val="es-ES"/>
        </w:rPr>
        <w:t>En perspectiva anual, la cuenta corriente cerró 2025 con un déficit de US$ 10.883 m (2,4% del PIB), superior en US$ 3.871 m y 0,7 pp. al registrado en 2024 (US$ 7.012 m, 1,7% del PIB). Las exportaciones de mercancías totalizaron US$ 51.496 m, con un incremento anual de 0,8% (US$ 406 m), explicado principalmente por mayores ventas de café (+US$ 2.395 m) y productos industriales (+US$ 1.912 m), compensados por las menores exportaciones de petróleo (-US$ 2.537 m) y carbón (-US$ 2.205 m). El valor importado ascendió a US$ 66.329 m (+10,1%, +US$ 6.082 m), impulsado por bienes de consumo (+US$ 3.211 m, +21,8%) e insumos y bienes de capital para la industria (+US$ 2.720 m, +8,9%), compensados parcialmente por menores importaciones de combustibles (-US$ 598 m, -11,0%).</w:t>
      </w:r>
    </w:p>
    <w:p>
      <w:pPr>
        <w:pStyle w:val="NormalWeb"/>
        <w:spacing w:before="240" w:beforeAutospacing="0" w:after="240" w:afterAutospacing="0" w:line="276" w:lineRule="auto"/>
        <w:rPr>
          <w:rFonts w:ascii="Arial" w:hAnsi="Arial" w:cs="Arial"/>
          <w:sz w:val="22"/>
          <w:szCs w:val="22"/>
          <w:lang w:val="es-ES"/>
        </w:rPr>
      </w:pPr>
      <w:r>
        <w:rPr>
          <w:rFonts w:ascii="Arial" w:hAnsi="Arial" w:cs="Arial"/>
          <w:sz w:val="22"/>
          <w:szCs w:val="22"/>
          <w:lang w:val="es-ES"/>
        </w:rPr>
        <w:t>La renta de los factores presentó un balance deficitario de US$ 12.446 m en el año 2025, inferior en US$ 391 m al registrado un año atrás (US$ 12.837 m), explicado por menores egresos netos de intereses de préstamos externos, mayores rentas de las inversiones directas colombianas en el exterior y la disminución de utilidades estimadas de firmas con IED en el país —en particular en el sector petrolero (US$ 677 m menos) y minas y canteras (US$ 504 m menos)—, compensada parcialmente por mayores utilidades de establecimientos financieros y de servicios empresariales (+US$ 757 m).</w:t>
      </w:r>
    </w:p>
    <w:p>
      <w:pPr>
        <w:pStyle w:val="NormalWeb"/>
        <w:spacing w:before="240" w:beforeAutospacing="0" w:after="240" w:afterAutospacing="0" w:line="276" w:lineRule="auto"/>
        <w:rPr>
          <w:rFonts w:ascii="Arial" w:hAnsi="Arial" w:cs="Arial"/>
          <w:sz w:val="22"/>
          <w:szCs w:val="22"/>
          <w:lang w:val="es-ES"/>
        </w:rPr>
      </w:pPr>
      <w:r>
        <w:rPr>
          <w:rFonts w:ascii="Arial" w:hAnsi="Arial" w:cs="Arial"/>
          <w:sz w:val="22"/>
          <w:szCs w:val="22"/>
          <w:lang w:val="es-ES"/>
        </w:rPr>
        <w:t>Las transferencias corrientes netas ascendieron a US$ 16.435 m en 2025, superiores en US$ 927 m (+6,0%) a las del año anterior. Los ingresos por remesas de trabajadores totalizaron US$ 13.098 m, con un crecimiento anual del 10,6% (US$ 1.250 m), equivalentes al 2,9% del PIB anual y al 13,2% de los ingresos corrientes de la balanza de pagos. Su crecimiento estuvo explicado principalmente por las remesas enviadas desde España (+US$ 362 m) y Estados Unidos (+US$ 157 m). Estos dos países aportan alrededor de dos tercios del total de ingresos externos por remesas a Colombia, en un contexto de continuado flujo migratorio y generación de empleo en esas economías.</w:t>
      </w:r>
    </w:p>
    <w:p>
      <w:pPr>
        <w:spacing w:after="160" w:line="259" w:lineRule="auto"/>
        <w:rPr>
          <w:rFonts w:ascii="Arial" w:hAnsi="Arial" w:cs="Arial"/>
          <w:b/>
          <w:bCs/>
          <w:color w:val="000000"/>
          <w:sz w:val="22"/>
          <w:szCs w:val="22"/>
          <w:lang w:val="es-ES"/>
        </w:rPr>
      </w:pPr>
      <w:r>
        <w:rPr>
          <w:rFonts w:ascii="Arial" w:hAnsi="Arial" w:cs="Arial"/>
          <w:b/>
          <w:bCs/>
          <w:color w:val="000000"/>
          <w:sz w:val="22"/>
          <w:szCs w:val="22"/>
          <w:lang w:val="es-ES"/>
        </w:rPr>
        <w:br w:type="page"/>
      </w:r>
    </w:p>
    <w:p w14:paraId="5EB4D90A" w14:textId="78CAF1A4" w:rsidR="00941EF3" w:rsidRDefault="00D76699" w:rsidP="00941EF3">
      <w:pPr>
        <w:pStyle w:val="NormalWeb"/>
        <w:spacing w:before="240" w:beforeAutospacing="0" w:after="240" w:afterAutospacing="0" w:line="276" w:lineRule="auto"/>
        <w:rPr>
          <w:rFonts w:ascii="Arial" w:hAnsi="Arial" w:cs="Arial"/>
          <w:b/>
          <w:bCs/>
          <w:color w:val="000000"/>
          <w:sz w:val="22"/>
          <w:szCs w:val="22"/>
          <w:lang w:val="es-ES"/>
        </w:rPr>
      </w:pPr>
      <w:r>
        <w:rPr>
          <w:rFonts w:ascii="Arial" w:hAnsi="Arial" w:cs="Arial"/>
          <w:b/>
          <w:bCs/>
          <w:color w:val="000000"/>
          <w:sz w:val="22"/>
          <w:szCs w:val="22"/>
          <w:lang w:val="es-ES"/>
        </w:rPr>
        <w:lastRenderedPageBreak/>
        <w:t>Cuenta Financiera cierre del primer semestre del año 2025</w:t>
      </w:r>
    </w:p>
    <w:p w14:paraId="4A4C76A3" w14:textId="6C5EAD4D" w:rsidR="001443C5" w:rsidRDefault="00823081" w:rsidP="00941EF3">
      <w:pPr>
        <w:pStyle w:val="NormalWeb"/>
        <w:spacing w:before="240" w:beforeAutospacing="0" w:after="240" w:afterAutospacing="0" w:line="276" w:lineRule="auto"/>
      </w:pPr>
      <w:r>
        <w:rPr>
          <w:rFonts w:ascii="Arial" w:hAnsi="Arial" w:cs="Arial"/>
          <w:color w:val="000000"/>
          <w:sz w:val="22"/>
          <w:szCs w:val="22"/>
          <w:lang w:val="es-ES"/>
        </w:rPr>
        <w:t>El superávit de la cuenta financiera alcanzó picos durante el cuarto trimestre de 2021 y el tercero de 2022 (Gráfico 3), en respuesta al amplio déficit en cuenta corriente registrado en esos periodos. Desde entonces, ha mostrado una tendencia descendente hasta el tercer trimestre de 2023. A partir de ese momento, el superávit se ha estabilizado en torno al 1 %–2 % del PIB, ubicándose finalmente en 1,8 % del PIB en el segundo trimestre de 2025. Periodo en el cual se extendió la necesidad de financiamiento frente al fortalecimiento de la demanda interna. Si bien la reducción del superávit desde el tercer trimestre de 2022 no obedece a una disminución sostenida de un rubro específico, han sido la inversión de cartera y la otra inversión las que han desempeñado un papel de pivote en el equilibrio del financiamiento externo del país.</w:t>
      </w:r>
    </w:p>
    <w:p w14:paraId="52B8E0D6" w14:textId="6AE0DE76" w:rsidR="003F0C7E" w:rsidRPr="00276492" w:rsidRDefault="003F0C7E" w:rsidP="00276492">
      <w:pPr>
        <w:spacing w:line="276" w:lineRule="auto"/>
        <w:rPr>
          <w:rFonts w:ascii="Arial" w:hAnsi="Arial" w:cs="Arial"/>
          <w:b/>
          <w:bCs/>
          <w:color w:val="000000"/>
          <w:lang w:val="es-ES"/>
        </w:rPr>
      </w:pPr>
      <w:r>
        <w:rPr>
          <w:rFonts w:ascii="Arial" w:hAnsi="Arial" w:cs="Arial"/>
          <w:b/>
          <w:bCs/>
          <w:color w:val="000000"/>
          <w:lang w:val="es-ES"/>
        </w:rPr>
        <w:t>Gráfico 3. Cuenta Financiera trimestral T1 2021 – T2 2025 (millones de dólares)</w:t>
      </w:r>
    </w:p>
    <w:p w14:paraId="4B842D78" w14:textId="1377F70A" w:rsidR="00276492" w:rsidRDefault="004E4D70" w:rsidP="00E7481A">
      <w:pPr>
        <w:pStyle w:val="NormalWeb"/>
        <w:spacing w:before="240" w:beforeAutospacing="0" w:after="240" w:afterAutospacing="0" w:line="276" w:lineRule="auto"/>
        <w:jc w:val="both"/>
        <w:rPr>
          <w:rFonts w:ascii="Arial" w:hAnsi="Arial" w:cs="Arial"/>
          <w:sz w:val="22"/>
          <w:szCs w:val="22"/>
          <w:lang w:val="es-ES"/>
        </w:rPr>
      </w:pPr>
      <w:r>
        <w:rPr>
          <w:noProof/>
          <w14:ligatures w14:val="standardContextual"/>
        </w:rPr>
        <w:drawing>
          <wp:inline distT="0" distB="0" distL="0" distR="0" wp14:anchorId="7C4D00B0" wp14:editId="550BDDD9">
            <wp:extent cx="5943600" cy="4025265"/>
            <wp:effectExtent l="0" t="0" r="12700" b="13335"/>
            <wp:docPr id="740627080" name="Gráfico 1">
              <a:extLst xmlns:a="http://schemas.openxmlformats.org/drawingml/2006/main">
                <a:ext uri="{FF2B5EF4-FFF2-40B4-BE49-F238E27FC236}">
                  <a16:creationId xmlns:a16="http://schemas.microsoft.com/office/drawing/2014/main" id="{8077655F-93FF-4553-95F4-E61167B22D7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42BCCC68" w14:textId="072B5AA3" w:rsidR="00941EF3" w:rsidRDefault="00941EF3" w:rsidP="00941EF3">
      <w:pPr>
        <w:spacing w:line="276" w:lineRule="auto"/>
        <w:rPr>
          <w:rFonts w:ascii="Arial" w:hAnsi="Arial" w:cs="Arial"/>
          <w:color w:val="000000"/>
          <w:lang w:val="es-ES"/>
        </w:rPr>
      </w:pPr>
      <w:r>
        <w:rPr>
          <w:rFonts w:ascii="Arial" w:hAnsi="Arial" w:cs="Arial"/>
          <w:b/>
          <w:bCs/>
          <w:color w:val="000000"/>
          <w:lang w:val="es-ES"/>
        </w:rPr>
        <w:t>Fuente:</w:t>
      </w:r>
      <w:r>
        <w:rPr>
          <w:rFonts w:ascii="Arial" w:hAnsi="Arial" w:cs="Arial"/>
          <w:color w:val="000000"/>
          <w:lang w:val="es-ES"/>
        </w:rPr>
        <w:t xml:space="preserve"> Elaboración propia con datos del Banco de la República (XXXX) y del DANE (2025x)</w:t>
      </w:r>
    </w:p>
    <w:p w14:paraId="25B4E632" w14:textId="112CE798" w:rsidR="009E6DF1" w:rsidRDefault="003B7E22" w:rsidP="003242AA">
      <w:pPr>
        <w:pStyle w:val="NormalWeb"/>
        <w:spacing w:before="240" w:after="240" w:line="276" w:lineRule="auto"/>
        <w:rPr>
          <w:rFonts w:ascii="Arial" w:hAnsi="Arial" w:cs="Arial"/>
          <w:color w:val="000000"/>
          <w:sz w:val="22"/>
          <w:szCs w:val="22"/>
        </w:rPr>
      </w:pPr>
      <w:r>
        <w:rPr>
          <w:rFonts w:ascii="Arial" w:hAnsi="Arial" w:cs="Arial"/>
          <w:color w:val="000000"/>
          <w:sz w:val="22"/>
          <w:szCs w:val="22"/>
        </w:rPr>
        <w:t xml:space="preserve">Profundizando en el análisis trimestral, entre abril y junio de 2025 la cuenta financiera registró entradas netas de capital por US$ 1.924 m, lo que representa un incremento de US$ 310 m frente al trimestre anterior y de US$ 806 m respecto al mismo periodo de 2024. Este comportamiento estuvo determinado principalmente por la inversión de cartera, que se </w:t>
        <w:lastRenderedPageBreak/>
        <w:t xml:space="preserve">consolidó como la principal fuente de financiamiento externo, con entradas netas por US$ 3.859 m. Esta variación implicó un aumento de US$ 6.793 m frente al trimestre previo (cuando se observó una salida neta de capitales por US$ 2.934 m) y de US$ 3.408 m en comparación con el segundo trimestre de 2024, lo que refleja un restablecimiento de la confianza de los inversionistas en los activos financieros colombianos. </w:t>
      </w:r>
    </w:p>
    <w:p w14:paraId="4A69C05E" w14:textId="5B252060" w:rsidR="00D0283F" w:rsidRDefault="009E6DF1" w:rsidP="003242AA">
      <w:pPr>
        <w:pStyle w:val="NormalWeb"/>
        <w:spacing w:before="240" w:after="240" w:line="276" w:lineRule="auto"/>
        <w:rPr>
          <w:rFonts w:ascii="Arial" w:hAnsi="Arial" w:cs="Arial"/>
          <w:color w:val="000000"/>
          <w:sz w:val="22"/>
          <w:szCs w:val="22"/>
        </w:rPr>
      </w:pPr>
      <w:r>
        <w:rPr>
          <w:rFonts w:ascii="Arial" w:hAnsi="Arial" w:cs="Arial"/>
          <w:color w:val="000000"/>
          <w:sz w:val="22"/>
          <w:szCs w:val="22"/>
        </w:rPr>
        <w:t>En contraste, la entrada de capitales durante el último periodo se vio parcialmente compensada por otra inversión, que registró una salida neta de capitales por US$ 3.732 m evidenciando un comportamiento opuesto a la inversión de cartera y más volátil en los préstamos intragrupo y financiamiento interempresarial. Frente al trimestre previo, esta categoría experimentó un incremento de US$ 5.987 m, y de US$ 3.708 m en comparación con el mismo trimestre de 2024, lo que sugiere un ajuste en la estructura de financiamiento externo del país.</w:t>
      </w:r>
    </w:p>
    <w:p w14:paraId="1ECA092E" w14:textId="06716433" w:rsidR="00313029" w:rsidRDefault="00313029" w:rsidP="00E7481A">
      <w:pPr>
        <w:pStyle w:val="NormalWeb"/>
        <w:spacing w:before="240" w:beforeAutospacing="0" w:after="240" w:afterAutospacing="0" w:line="276" w:lineRule="auto"/>
        <w:jc w:val="both"/>
        <w:rPr>
          <w:rFonts w:ascii="Arial" w:hAnsi="Arial" w:cs="Arial"/>
          <w:color w:val="000000"/>
          <w:sz w:val="22"/>
          <w:szCs w:val="22"/>
        </w:rPr>
      </w:pPr>
      <w:r>
        <w:rPr>
          <w:rFonts w:ascii="Arial" w:hAnsi="Arial" w:cs="Arial"/>
          <w:color w:val="000000"/>
          <w:sz w:val="22"/>
          <w:szCs w:val="22"/>
        </w:rPr>
        <w:t>Durante los últimos periodos, la inversión directa se ha consolidado como la fuente de financiamiento más estable para el país, aunque comenzó a mostrar signos de deterioro a partir del segundo semestre de 2023 (Gráfico 3), luego de mantener una posición robusta durante 2022. Para el segundo trimestre de 2025, la inversión directa generó entradas de capital por US$ 3.732 m, lo que representa US$ 561 m menos que en el trimestre inmediatamente anterior y US$ 189 m más que en el mismo periodo del año pasado, evidenciando un ajuste moderado en este componente clave del financiamiento externo.</w:t>
      </w:r>
    </w:p>
    <w:p w14:paraId="71B89250" w14:textId="2EA206BD" w:rsidR="00D0283F" w:rsidRPr="00CC7CF9" w:rsidRDefault="00D0283F" w:rsidP="00E7481A">
      <w:pPr>
        <w:pStyle w:val="NormalWeb"/>
        <w:spacing w:before="240" w:beforeAutospacing="0" w:after="240" w:afterAutospacing="0" w:line="276" w:lineRule="auto"/>
        <w:jc w:val="both"/>
        <w:rPr>
          <w:rFonts w:ascii="Arial" w:hAnsi="Arial" w:cs="Arial"/>
          <w:color w:val="000000"/>
          <w:sz w:val="22"/>
          <w:szCs w:val="22"/>
        </w:rPr>
      </w:pPr>
      <w:r>
        <w:rPr>
          <w:rFonts w:ascii="Arial" w:hAnsi="Arial" w:cs="Arial"/>
          <w:color w:val="000000"/>
          <w:sz w:val="22"/>
          <w:szCs w:val="22"/>
        </w:rPr>
        <w:t>Por su parte, los derivados financieros contribuyeron con entradas por US 448 m, mostrando un incremento de US 26 m frente al trimestre inmediato anterior y de US 528 m respecto al mismo trimestre del año pasado. Estos flujos reflejan, en parte, la mayor actividad en contratos de cobertura y posiciones especulativas de corto plazo, que complementan las entradas de capital más estables provenientes de cartera e inversión directa.</w:t>
      </w:r>
    </w:p>
    <w:p w14:paraId="220F62A3" w14:textId="7333F0F2" w:rsidR="00923BDC" w:rsidRDefault="00922E47" w:rsidP="00B33D70">
      <w:pPr>
        <w:pStyle w:val="NormalWeb"/>
        <w:spacing w:before="240" w:beforeAutospacing="0" w:after="240" w:afterAutospacing="0" w:line="276" w:lineRule="auto"/>
        <w:rPr>
          <w:rFonts w:ascii="Arial" w:hAnsi="Arial" w:cs="Arial"/>
          <w:b/>
          <w:bCs/>
          <w:color w:val="000000"/>
          <w:sz w:val="22"/>
          <w:szCs w:val="22"/>
          <w:lang w:val="es-ES"/>
        </w:rPr>
      </w:pPr>
      <w:r>
        <w:rPr>
          <w:rFonts w:ascii="Arial" w:hAnsi="Arial" w:cs="Arial"/>
          <w:b/>
          <w:bCs/>
          <w:color w:val="000000"/>
          <w:sz w:val="22"/>
          <w:szCs w:val="22"/>
          <w:lang w:val="es-ES"/>
        </w:rPr>
        <w:t>Tabla 2. Cuenta Financiera semestral S1 2024 – S2 2024 (millones de dólares)</w:t>
      </w:r>
    </w:p>
    <w:tbl>
      <w:tblPr>
        <w:tblW w:w="8128" w:type="dxa"/>
        <w:tblCellMar>
          <w:left w:w="70" w:type="dxa"/>
          <w:right w:w="70" w:type="dxa"/>
        </w:tblCellMar>
        <w:tblLook w:val="04A0" w:firstRow="1" w:lastRow="0" w:firstColumn="1" w:lastColumn="0" w:noHBand="0" w:noVBand="1"/>
      </w:tblPr>
      <w:tblGrid>
        <w:gridCol w:w="4228"/>
        <w:gridCol w:w="1300"/>
        <w:gridCol w:w="1300"/>
        <w:gridCol w:w="1300"/>
      </w:tblGrid>
      <w:tr w:rsidR="00A36C15" w14:paraId="09ECADA1" w14:textId="77777777" w:rsidTr="00A36C15">
        <w:trPr>
          <w:trHeight w:val="300"/>
        </w:trPr>
        <w:tc>
          <w:tcPr>
            <w:tcW w:w="4228" w:type="dxa"/>
            <w:tcBorders>
              <w:top w:val="nil"/>
              <w:left w:val="nil"/>
              <w:bottom w:val="single" w:sz="4" w:space="0" w:color="161513"/>
              <w:right w:val="nil"/>
            </w:tcBorders>
            <w:shd w:val="clear" w:color="4D4F5B" w:fill="44546A"/>
            <w:noWrap/>
            <w:vAlign w:val="center"/>
            <w:hideMark/>
          </w:tcPr>
          <w:p w14:paraId="65E9F349" w14:textId="77777777" w:rsidR="00A36C15" w:rsidRDefault="00A36C15">
            <w:pPr>
              <w:rPr>
                <w:rFonts w:ascii="Oracle Sans" w:hAnsi="Oracle Sans" w:cs="Calibri"/>
                <w:color w:val="FFFFFF"/>
                <w:sz w:val="17"/>
                <w:szCs w:val="17"/>
              </w:rPr>
            </w:pPr>
            <w:r>
              <w:rPr>
                <w:rFonts w:ascii="Oracle Sans" w:hAnsi="Oracle Sans" w:cs="Calibri"/>
                <w:color w:val="FFFFFF"/>
                <w:sz w:val="17"/>
                <w:szCs w:val="17"/>
              </w:rPr>
              <w:t>Peirodo</w:t>
            </w:r>
          </w:p>
        </w:tc>
        <w:tc>
          <w:tcPr>
            <w:tcW w:w="1300" w:type="dxa"/>
            <w:tcBorders>
              <w:top w:val="single" w:sz="4" w:space="0" w:color="auto"/>
              <w:left w:val="single" w:sz="4" w:space="0" w:color="auto"/>
              <w:bottom w:val="single" w:sz="4" w:space="0" w:color="auto"/>
              <w:right w:val="single" w:sz="4" w:space="0" w:color="auto"/>
            </w:tcBorders>
            <w:shd w:val="clear" w:color="000000" w:fill="44546A"/>
            <w:noWrap/>
            <w:vAlign w:val="center"/>
            <w:hideMark/>
          </w:tcPr>
          <w:p w14:paraId="5B272D28" w14:textId="77777777" w:rsidR="00A36C15" w:rsidRDefault="00A36C15">
            <w:pPr>
              <w:jc w:val="center"/>
              <w:rPr>
                <w:rFonts w:ascii="Oracle Sans" w:hAnsi="Oracle Sans" w:cs="Calibri"/>
                <w:b/>
                <w:bCs/>
                <w:color w:val="FFFFFF"/>
                <w:sz w:val="17"/>
                <w:szCs w:val="17"/>
              </w:rPr>
            </w:pPr>
            <w:r>
              <w:rPr>
                <w:rFonts w:ascii="Oracle Sans" w:hAnsi="Oracle Sans" w:cs="Calibri"/>
                <w:b/>
                <w:bCs/>
                <w:color w:val="FFFFFF"/>
                <w:sz w:val="17"/>
                <w:szCs w:val="17"/>
              </w:rPr>
              <w:t>2024 (p)</w:t>
            </w:r>
          </w:p>
        </w:tc>
        <w:tc>
          <w:tcPr>
            <w:tcW w:w="1300" w:type="dxa"/>
            <w:tcBorders>
              <w:top w:val="single" w:sz="4" w:space="0" w:color="auto"/>
              <w:left w:val="nil"/>
              <w:bottom w:val="single" w:sz="4" w:space="0" w:color="auto"/>
              <w:right w:val="single" w:sz="4" w:space="0" w:color="auto"/>
            </w:tcBorders>
            <w:shd w:val="clear" w:color="000000" w:fill="44546A"/>
            <w:noWrap/>
            <w:vAlign w:val="center"/>
            <w:hideMark/>
          </w:tcPr>
          <w:p w14:paraId="08FC381E" w14:textId="77777777" w:rsidR="00A36C15" w:rsidRDefault="00A36C15">
            <w:pPr>
              <w:jc w:val="center"/>
              <w:rPr>
                <w:rFonts w:ascii="Oracle Sans" w:hAnsi="Oracle Sans" w:cs="Calibri"/>
                <w:b/>
                <w:bCs/>
                <w:color w:val="FFFFFF"/>
                <w:sz w:val="17"/>
                <w:szCs w:val="17"/>
              </w:rPr>
            </w:pPr>
            <w:r>
              <w:rPr>
                <w:rFonts w:ascii="Oracle Sans" w:hAnsi="Oracle Sans" w:cs="Calibri"/>
                <w:b/>
                <w:bCs/>
                <w:color w:val="FFFFFF"/>
                <w:sz w:val="17"/>
                <w:szCs w:val="17"/>
              </w:rPr>
              <w:t xml:space="preserve"> 2025 (pr)</w:t>
            </w:r>
          </w:p>
        </w:tc>
        <w:tc>
          <w:tcPr>
            <w:tcW w:w="1300" w:type="dxa"/>
            <w:tcBorders>
              <w:top w:val="single" w:sz="4" w:space="0" w:color="auto"/>
              <w:left w:val="nil"/>
              <w:bottom w:val="single" w:sz="4" w:space="0" w:color="auto"/>
              <w:right w:val="single" w:sz="4" w:space="0" w:color="auto"/>
            </w:tcBorders>
            <w:shd w:val="clear" w:color="000000" w:fill="44546A"/>
            <w:noWrap/>
            <w:vAlign w:val="center"/>
            <w:hideMark/>
          </w:tcPr>
          <w:p w14:paraId="4F018F8B" w14:textId="77777777" w:rsidR="00A36C15" w:rsidRDefault="00A36C15">
            <w:pPr>
              <w:jc w:val="center"/>
              <w:rPr>
                <w:rFonts w:ascii="Oracle Sans" w:hAnsi="Oracle Sans" w:cs="Calibri"/>
                <w:b/>
                <w:bCs/>
                <w:color w:val="FFFFFF"/>
                <w:sz w:val="17"/>
                <w:szCs w:val="17"/>
              </w:rPr>
            </w:pPr>
            <w:r>
              <w:rPr>
                <w:rFonts w:ascii="Oracle Sans" w:hAnsi="Oracle Sans" w:cs="Calibri"/>
                <w:b/>
                <w:bCs/>
                <w:color w:val="FFFFFF"/>
                <w:sz w:val="17"/>
                <w:szCs w:val="17"/>
              </w:rPr>
              <w:t>Variación</w:t>
            </w:r>
          </w:p>
        </w:tc>
      </w:tr>
      <w:tr w:rsidR="00A36C15" w14:paraId="33DF5647" w14:textId="77777777" w:rsidTr="00A36C15">
        <w:trPr>
          <w:trHeight w:val="300"/>
        </w:trPr>
        <w:tc>
          <w:tcPr>
            <w:tcW w:w="4228" w:type="dxa"/>
            <w:tcBorders>
              <w:top w:val="nil"/>
              <w:left w:val="nil"/>
              <w:bottom w:val="single" w:sz="4" w:space="0" w:color="161513"/>
              <w:right w:val="nil"/>
            </w:tcBorders>
            <w:shd w:val="clear" w:color="4D4F5B" w:fill="44546A"/>
            <w:noWrap/>
            <w:vAlign w:val="center"/>
            <w:hideMark/>
          </w:tcPr>
          <w:p w14:paraId="57CD9CB4" w14:textId="77777777" w:rsidR="00A36C15" w:rsidRDefault="00A36C15">
            <w:pPr>
              <w:rPr>
                <w:rFonts w:ascii="Oracle Sans" w:hAnsi="Oracle Sans" w:cs="Calibri"/>
                <w:color w:val="FFFFFF"/>
                <w:sz w:val="17"/>
                <w:szCs w:val="17"/>
              </w:rPr>
            </w:pPr>
            <w:r>
              <w:rPr>
                <w:rFonts w:ascii="Oracle Sans" w:hAnsi="Oracle Sans" w:cs="Calibri"/>
                <w:color w:val="FFFFFF"/>
                <w:sz w:val="17"/>
                <w:szCs w:val="17"/>
              </w:rPr>
              <w:t>        3 Cuenta financiera</w:t>
            </w:r>
          </w:p>
        </w:tc>
        <w:tc>
          <w:tcPr>
            <w:tcW w:w="1300" w:type="dxa"/>
            <w:tcBorders>
              <w:top w:val="nil"/>
              <w:left w:val="single" w:sz="4" w:space="0" w:color="auto"/>
              <w:bottom w:val="single" w:sz="4" w:space="0" w:color="auto"/>
              <w:right w:val="single" w:sz="4" w:space="0" w:color="auto"/>
            </w:tcBorders>
            <w:shd w:val="clear" w:color="FFFFFF" w:fill="FFFFFF"/>
            <w:noWrap/>
            <w:vAlign w:val="center"/>
            <w:hideMark/>
          </w:tcPr>
          <w:p w14:paraId="06018D78" w14:textId="77777777" w:rsidR="00A36C15" w:rsidRDefault="00A36C15">
            <w:pPr>
              <w:jc w:val="right"/>
              <w:rPr>
                <w:rFonts w:ascii="Oracle Sans" w:hAnsi="Oracle Sans" w:cs="Calibri"/>
                <w:sz w:val="15"/>
                <w:szCs w:val="15"/>
              </w:rPr>
            </w:pPr>
            <w:r>
              <w:rPr>
                <w:rFonts w:ascii="Oracle Sans" w:hAnsi="Oracle Sans" w:cs="Calibri"/>
                <w:sz w:val="15"/>
                <w:szCs w:val="15"/>
              </w:rPr>
              <w:t>-5.577,31</w:t>
            </w:r>
          </w:p>
        </w:tc>
        <w:tc>
          <w:tcPr>
            <w:tcW w:w="1300" w:type="dxa"/>
            <w:tcBorders>
              <w:top w:val="nil"/>
              <w:left w:val="nil"/>
              <w:bottom w:val="single" w:sz="4" w:space="0" w:color="auto"/>
              <w:right w:val="single" w:sz="4" w:space="0" w:color="auto"/>
            </w:tcBorders>
            <w:shd w:val="clear" w:color="FFFFFF" w:fill="FFFFFF"/>
            <w:noWrap/>
            <w:vAlign w:val="center"/>
            <w:hideMark/>
          </w:tcPr>
          <w:p w14:paraId="049CF38A" w14:textId="77777777" w:rsidR="00A36C15" w:rsidRDefault="00A36C15">
            <w:pPr>
              <w:jc w:val="right"/>
              <w:rPr>
                <w:rFonts w:ascii="Oracle Sans" w:hAnsi="Oracle Sans" w:cs="Calibri"/>
                <w:sz w:val="15"/>
                <w:szCs w:val="15"/>
              </w:rPr>
            </w:pPr>
            <w:r>
              <w:rPr>
                <w:rFonts w:ascii="Oracle Sans" w:hAnsi="Oracle Sans" w:cs="Calibri"/>
                <w:sz w:val="15"/>
                <w:szCs w:val="15"/>
              </w:rPr>
              <w:t>-9.047,42</w:t>
            </w:r>
          </w:p>
        </w:tc>
        <w:tc>
          <w:tcPr>
            <w:tcW w:w="1300" w:type="dxa"/>
            <w:tcBorders>
              <w:top w:val="nil"/>
              <w:left w:val="nil"/>
              <w:bottom w:val="single" w:sz="4" w:space="0" w:color="161513"/>
              <w:right w:val="single" w:sz="4" w:space="0" w:color="161513"/>
            </w:tcBorders>
            <w:shd w:val="clear" w:color="FFFFFF" w:fill="FFFFFF"/>
            <w:noWrap/>
            <w:vAlign w:val="center"/>
            <w:hideMark/>
          </w:tcPr>
          <w:p w14:paraId="1437986D" w14:textId="77777777" w:rsidR="00A36C15" w:rsidRDefault="00A36C15">
            <w:pPr>
              <w:jc w:val="right"/>
              <w:rPr>
                <w:rFonts w:ascii="Oracle Sans" w:hAnsi="Oracle Sans" w:cs="Calibri"/>
                <w:sz w:val="15"/>
                <w:szCs w:val="15"/>
              </w:rPr>
            </w:pPr>
            <w:r>
              <w:rPr>
                <w:rFonts w:ascii="Oracle Sans" w:hAnsi="Oracle Sans" w:cs="Calibri"/>
                <w:sz w:val="15"/>
                <w:szCs w:val="15"/>
              </w:rPr>
              <w:t>-3.470,11</w:t>
            </w:r>
          </w:p>
        </w:tc>
      </w:tr>
      <w:tr w:rsidR="00A36C15" w14:paraId="6DCB1E1D" w14:textId="77777777" w:rsidTr="00A36C15">
        <w:trPr>
          <w:trHeight w:val="300"/>
        </w:trPr>
        <w:tc>
          <w:tcPr>
            <w:tcW w:w="4228" w:type="dxa"/>
            <w:tcBorders>
              <w:top w:val="nil"/>
              <w:left w:val="nil"/>
              <w:bottom w:val="single" w:sz="4" w:space="0" w:color="161513"/>
              <w:right w:val="nil"/>
            </w:tcBorders>
            <w:shd w:val="clear" w:color="4D4F5B" w:fill="44546A"/>
            <w:noWrap/>
            <w:vAlign w:val="center"/>
            <w:hideMark/>
          </w:tcPr>
          <w:p w14:paraId="19FDC2FA" w14:textId="77777777" w:rsidR="00A36C15" w:rsidRDefault="00A36C15">
            <w:pPr>
              <w:rPr>
                <w:rFonts w:ascii="Oracle Sans" w:hAnsi="Oracle Sans" w:cs="Calibri"/>
                <w:color w:val="FFFFFF"/>
                <w:sz w:val="17"/>
                <w:szCs w:val="17"/>
              </w:rPr>
            </w:pPr>
            <w:r>
              <w:rPr>
                <w:rFonts w:ascii="Oracle Sans" w:hAnsi="Oracle Sans" w:cs="Calibri"/>
                <w:color w:val="FFFFFF"/>
                <w:sz w:val="17"/>
                <w:szCs w:val="17"/>
              </w:rPr>
              <w:t>                      3.1 Inversión directa</w:t>
            </w:r>
          </w:p>
        </w:tc>
        <w:tc>
          <w:tcPr>
            <w:tcW w:w="1300" w:type="dxa"/>
            <w:tcBorders>
              <w:top w:val="nil"/>
              <w:left w:val="single" w:sz="4" w:space="0" w:color="auto"/>
              <w:bottom w:val="single" w:sz="4" w:space="0" w:color="auto"/>
              <w:right w:val="single" w:sz="4" w:space="0" w:color="auto"/>
            </w:tcBorders>
            <w:shd w:val="clear" w:color="FFFFFF" w:fill="FFFFFF"/>
            <w:noWrap/>
            <w:vAlign w:val="center"/>
            <w:hideMark/>
          </w:tcPr>
          <w:p w14:paraId="372DBADA" w14:textId="77777777" w:rsidR="00A36C15" w:rsidRDefault="00A36C15">
            <w:pPr>
              <w:jc w:val="right"/>
              <w:rPr>
                <w:rFonts w:ascii="Oracle Sans" w:hAnsi="Oracle Sans" w:cs="Calibri"/>
                <w:sz w:val="15"/>
                <w:szCs w:val="15"/>
              </w:rPr>
            </w:pPr>
            <w:r>
              <w:rPr>
                <w:rFonts w:ascii="Oracle Sans" w:hAnsi="Oracle Sans" w:cs="Calibri"/>
                <w:sz w:val="15"/>
                <w:szCs w:val="15"/>
              </w:rPr>
              <w:t>-9.172,08</w:t>
            </w:r>
          </w:p>
        </w:tc>
        <w:tc>
          <w:tcPr>
            <w:tcW w:w="1300" w:type="dxa"/>
            <w:tcBorders>
              <w:top w:val="nil"/>
              <w:left w:val="nil"/>
              <w:bottom w:val="single" w:sz="4" w:space="0" w:color="auto"/>
              <w:right w:val="single" w:sz="4" w:space="0" w:color="auto"/>
            </w:tcBorders>
            <w:shd w:val="clear" w:color="FFFFFF" w:fill="FFFFFF"/>
            <w:noWrap/>
            <w:vAlign w:val="center"/>
            <w:hideMark/>
          </w:tcPr>
          <w:p w14:paraId="7066025A" w14:textId="77777777" w:rsidR="00A36C15" w:rsidRDefault="00A36C15">
            <w:pPr>
              <w:jc w:val="right"/>
              <w:rPr>
                <w:rFonts w:ascii="Oracle Sans" w:hAnsi="Oracle Sans" w:cs="Calibri"/>
                <w:sz w:val="15"/>
                <w:szCs w:val="15"/>
              </w:rPr>
            </w:pPr>
            <w:r>
              <w:rPr>
                <w:rFonts w:ascii="Oracle Sans" w:hAnsi="Oracle Sans" w:cs="Calibri"/>
                <w:sz w:val="15"/>
                <w:szCs w:val="15"/>
              </w:rPr>
              <w:t>-7.309,95</w:t>
            </w:r>
          </w:p>
        </w:tc>
        <w:tc>
          <w:tcPr>
            <w:tcW w:w="1300" w:type="dxa"/>
            <w:tcBorders>
              <w:top w:val="nil"/>
              <w:left w:val="nil"/>
              <w:bottom w:val="single" w:sz="4" w:space="0" w:color="161513"/>
              <w:right w:val="single" w:sz="4" w:space="0" w:color="161513"/>
            </w:tcBorders>
            <w:shd w:val="clear" w:color="FFFFFF" w:fill="FFFFFF"/>
            <w:noWrap/>
            <w:vAlign w:val="center"/>
            <w:hideMark/>
          </w:tcPr>
          <w:p w14:paraId="147529A3" w14:textId="77777777" w:rsidR="00A36C15" w:rsidRDefault="00A36C15">
            <w:pPr>
              <w:jc w:val="right"/>
              <w:rPr>
                <w:rFonts w:ascii="Oracle Sans" w:hAnsi="Oracle Sans" w:cs="Calibri"/>
                <w:sz w:val="15"/>
                <w:szCs w:val="15"/>
              </w:rPr>
            </w:pPr>
            <w:r>
              <w:rPr>
                <w:rFonts w:ascii="Oracle Sans" w:hAnsi="Oracle Sans" w:cs="Calibri"/>
                <w:sz w:val="15"/>
                <w:szCs w:val="15"/>
              </w:rPr>
              <w:t>1.862,14</w:t>
            </w:r>
          </w:p>
        </w:tc>
      </w:tr>
      <w:tr w:rsidR="00A36C15" w14:paraId="1C05695F" w14:textId="77777777" w:rsidTr="00A36C15">
        <w:trPr>
          <w:trHeight w:val="300"/>
        </w:trPr>
        <w:tc>
          <w:tcPr>
            <w:tcW w:w="4228" w:type="dxa"/>
            <w:tcBorders>
              <w:top w:val="nil"/>
              <w:left w:val="nil"/>
              <w:bottom w:val="single" w:sz="4" w:space="0" w:color="161513"/>
              <w:right w:val="nil"/>
            </w:tcBorders>
            <w:shd w:val="clear" w:color="4D4F5B" w:fill="44546A"/>
            <w:noWrap/>
            <w:vAlign w:val="center"/>
            <w:hideMark/>
          </w:tcPr>
          <w:p w14:paraId="244F3ED0" w14:textId="77777777" w:rsidR="00A36C15" w:rsidRDefault="00A36C15">
            <w:pPr>
              <w:rPr>
                <w:rFonts w:ascii="Oracle Sans" w:hAnsi="Oracle Sans" w:cs="Calibri"/>
                <w:color w:val="FFFFFF"/>
                <w:sz w:val="17"/>
                <w:szCs w:val="17"/>
              </w:rPr>
            </w:pPr>
            <w:r>
              <w:rPr>
                <w:rFonts w:ascii="Oracle Sans" w:hAnsi="Oracle Sans" w:cs="Calibri"/>
                <w:color w:val="FFFFFF"/>
                <w:sz w:val="17"/>
                <w:szCs w:val="17"/>
              </w:rPr>
              <w:t>                             Adquisición neta de activos financieros</w:t>
            </w:r>
          </w:p>
        </w:tc>
        <w:tc>
          <w:tcPr>
            <w:tcW w:w="1300" w:type="dxa"/>
            <w:tcBorders>
              <w:top w:val="nil"/>
              <w:left w:val="single" w:sz="4" w:space="0" w:color="auto"/>
              <w:bottom w:val="single" w:sz="4" w:space="0" w:color="auto"/>
              <w:right w:val="single" w:sz="4" w:space="0" w:color="auto"/>
            </w:tcBorders>
            <w:shd w:val="clear" w:color="FFFFFF" w:fill="FFFFFF"/>
            <w:noWrap/>
            <w:vAlign w:val="center"/>
            <w:hideMark/>
          </w:tcPr>
          <w:p w14:paraId="0F298A35" w14:textId="77777777" w:rsidR="00A36C15" w:rsidRDefault="00A36C15">
            <w:pPr>
              <w:jc w:val="right"/>
              <w:rPr>
                <w:rFonts w:ascii="Oracle Sans" w:hAnsi="Oracle Sans" w:cs="Calibri"/>
                <w:sz w:val="15"/>
                <w:szCs w:val="15"/>
              </w:rPr>
            </w:pPr>
            <w:r>
              <w:rPr>
                <w:rFonts w:ascii="Oracle Sans" w:hAnsi="Oracle Sans" w:cs="Calibri"/>
                <w:sz w:val="15"/>
                <w:szCs w:val="15"/>
              </w:rPr>
              <w:t>4.511,79</w:t>
            </w:r>
          </w:p>
        </w:tc>
        <w:tc>
          <w:tcPr>
            <w:tcW w:w="1300" w:type="dxa"/>
            <w:tcBorders>
              <w:top w:val="nil"/>
              <w:left w:val="nil"/>
              <w:bottom w:val="single" w:sz="4" w:space="0" w:color="auto"/>
              <w:right w:val="single" w:sz="4" w:space="0" w:color="auto"/>
            </w:tcBorders>
            <w:shd w:val="clear" w:color="FFFFFF" w:fill="FFFFFF"/>
            <w:noWrap/>
            <w:vAlign w:val="center"/>
            <w:hideMark/>
          </w:tcPr>
          <w:p w14:paraId="47A7C229" w14:textId="77777777" w:rsidR="00A36C15" w:rsidRDefault="00A36C15">
            <w:pPr>
              <w:jc w:val="right"/>
              <w:rPr>
                <w:rFonts w:ascii="Oracle Sans" w:hAnsi="Oracle Sans" w:cs="Calibri"/>
                <w:sz w:val="15"/>
                <w:szCs w:val="15"/>
              </w:rPr>
            </w:pPr>
            <w:r>
              <w:rPr>
                <w:rFonts w:ascii="Oracle Sans" w:hAnsi="Oracle Sans" w:cs="Calibri"/>
                <w:sz w:val="15"/>
                <w:szCs w:val="15"/>
              </w:rPr>
              <w:t>4.159,38</w:t>
            </w:r>
          </w:p>
        </w:tc>
        <w:tc>
          <w:tcPr>
            <w:tcW w:w="1300" w:type="dxa"/>
            <w:tcBorders>
              <w:top w:val="nil"/>
              <w:left w:val="nil"/>
              <w:bottom w:val="single" w:sz="4" w:space="0" w:color="161513"/>
              <w:right w:val="single" w:sz="4" w:space="0" w:color="161513"/>
            </w:tcBorders>
            <w:shd w:val="clear" w:color="FFFFFF" w:fill="FFFFFF"/>
            <w:noWrap/>
            <w:vAlign w:val="center"/>
            <w:hideMark/>
          </w:tcPr>
          <w:p w14:paraId="09D06D7F" w14:textId="77777777" w:rsidR="00A36C15" w:rsidRDefault="00A36C15">
            <w:pPr>
              <w:jc w:val="right"/>
              <w:rPr>
                <w:rFonts w:ascii="Oracle Sans" w:hAnsi="Oracle Sans" w:cs="Calibri"/>
                <w:sz w:val="15"/>
                <w:szCs w:val="15"/>
              </w:rPr>
            </w:pPr>
            <w:r>
              <w:rPr>
                <w:rFonts w:ascii="Oracle Sans" w:hAnsi="Oracle Sans" w:cs="Calibri"/>
                <w:sz w:val="15"/>
                <w:szCs w:val="15"/>
              </w:rPr>
              <w:t>-352,42</w:t>
            </w:r>
          </w:p>
        </w:tc>
      </w:tr>
      <w:tr w:rsidR="00A36C15" w14:paraId="6ECAFB6F" w14:textId="77777777" w:rsidTr="00A36C15">
        <w:trPr>
          <w:trHeight w:val="300"/>
        </w:trPr>
        <w:tc>
          <w:tcPr>
            <w:tcW w:w="4228" w:type="dxa"/>
            <w:tcBorders>
              <w:top w:val="nil"/>
              <w:left w:val="nil"/>
              <w:bottom w:val="single" w:sz="4" w:space="0" w:color="161513"/>
              <w:right w:val="nil"/>
            </w:tcBorders>
            <w:shd w:val="clear" w:color="4D4F5B" w:fill="44546A"/>
            <w:noWrap/>
            <w:vAlign w:val="center"/>
            <w:hideMark/>
          </w:tcPr>
          <w:p w14:paraId="16A818E3" w14:textId="77777777" w:rsidR="00A36C15" w:rsidRDefault="00A36C15">
            <w:pPr>
              <w:rPr>
                <w:rFonts w:ascii="Oracle Sans" w:hAnsi="Oracle Sans" w:cs="Calibri"/>
                <w:color w:val="FFFFFF"/>
                <w:sz w:val="17"/>
                <w:szCs w:val="17"/>
              </w:rPr>
            </w:pPr>
            <w:r>
              <w:rPr>
                <w:rFonts w:ascii="Oracle Sans" w:hAnsi="Oracle Sans" w:cs="Calibri"/>
                <w:color w:val="FFFFFF"/>
                <w:sz w:val="17"/>
                <w:szCs w:val="17"/>
              </w:rPr>
              <w:t>                             Pasivos netos incurridos</w:t>
            </w:r>
          </w:p>
        </w:tc>
        <w:tc>
          <w:tcPr>
            <w:tcW w:w="1300" w:type="dxa"/>
            <w:tcBorders>
              <w:top w:val="nil"/>
              <w:left w:val="single" w:sz="4" w:space="0" w:color="auto"/>
              <w:bottom w:val="single" w:sz="4" w:space="0" w:color="auto"/>
              <w:right w:val="single" w:sz="4" w:space="0" w:color="auto"/>
            </w:tcBorders>
            <w:shd w:val="clear" w:color="FFFFFF" w:fill="FFFFFF"/>
            <w:noWrap/>
            <w:vAlign w:val="center"/>
            <w:hideMark/>
          </w:tcPr>
          <w:p w14:paraId="49CF78DB" w14:textId="77777777" w:rsidR="00A36C15" w:rsidRDefault="00A36C15">
            <w:pPr>
              <w:jc w:val="right"/>
              <w:rPr>
                <w:rFonts w:ascii="Oracle Sans" w:hAnsi="Oracle Sans" w:cs="Calibri"/>
                <w:sz w:val="15"/>
                <w:szCs w:val="15"/>
              </w:rPr>
            </w:pPr>
            <w:r>
              <w:rPr>
                <w:rFonts w:ascii="Oracle Sans" w:hAnsi="Oracle Sans" w:cs="Calibri"/>
                <w:sz w:val="15"/>
                <w:szCs w:val="15"/>
              </w:rPr>
              <w:t>13.683,88</w:t>
            </w:r>
          </w:p>
        </w:tc>
        <w:tc>
          <w:tcPr>
            <w:tcW w:w="1300" w:type="dxa"/>
            <w:tcBorders>
              <w:top w:val="nil"/>
              <w:left w:val="nil"/>
              <w:bottom w:val="single" w:sz="4" w:space="0" w:color="auto"/>
              <w:right w:val="single" w:sz="4" w:space="0" w:color="auto"/>
            </w:tcBorders>
            <w:shd w:val="clear" w:color="FFFFFF" w:fill="FFFFFF"/>
            <w:noWrap/>
            <w:vAlign w:val="center"/>
            <w:hideMark/>
          </w:tcPr>
          <w:p w14:paraId="375C52D5" w14:textId="77777777" w:rsidR="00A36C15" w:rsidRDefault="00A36C15">
            <w:pPr>
              <w:jc w:val="right"/>
              <w:rPr>
                <w:rFonts w:ascii="Oracle Sans" w:hAnsi="Oracle Sans" w:cs="Calibri"/>
                <w:sz w:val="15"/>
                <w:szCs w:val="15"/>
              </w:rPr>
            </w:pPr>
            <w:r>
              <w:rPr>
                <w:rFonts w:ascii="Oracle Sans" w:hAnsi="Oracle Sans" w:cs="Calibri"/>
                <w:sz w:val="15"/>
                <w:szCs w:val="15"/>
              </w:rPr>
              <w:t>11.469,32</w:t>
            </w:r>
          </w:p>
        </w:tc>
        <w:tc>
          <w:tcPr>
            <w:tcW w:w="1300" w:type="dxa"/>
            <w:tcBorders>
              <w:top w:val="nil"/>
              <w:left w:val="nil"/>
              <w:bottom w:val="single" w:sz="4" w:space="0" w:color="161513"/>
              <w:right w:val="single" w:sz="4" w:space="0" w:color="161513"/>
            </w:tcBorders>
            <w:shd w:val="clear" w:color="FFFFFF" w:fill="FFFFFF"/>
            <w:noWrap/>
            <w:vAlign w:val="center"/>
            <w:hideMark/>
          </w:tcPr>
          <w:p w14:paraId="6BE29715" w14:textId="77777777" w:rsidR="00A36C15" w:rsidRDefault="00A36C15">
            <w:pPr>
              <w:jc w:val="right"/>
              <w:rPr>
                <w:rFonts w:ascii="Oracle Sans" w:hAnsi="Oracle Sans" w:cs="Calibri"/>
                <w:sz w:val="15"/>
                <w:szCs w:val="15"/>
              </w:rPr>
            </w:pPr>
            <w:r>
              <w:rPr>
                <w:rFonts w:ascii="Oracle Sans" w:hAnsi="Oracle Sans" w:cs="Calibri"/>
                <w:sz w:val="15"/>
                <w:szCs w:val="15"/>
              </w:rPr>
              <w:t>-2.214,55</w:t>
            </w:r>
          </w:p>
        </w:tc>
      </w:tr>
      <w:tr w:rsidR="00A36C15" w14:paraId="4521C644" w14:textId="77777777" w:rsidTr="00A36C15">
        <w:trPr>
          <w:trHeight w:val="300"/>
        </w:trPr>
        <w:tc>
          <w:tcPr>
            <w:tcW w:w="4228" w:type="dxa"/>
            <w:tcBorders>
              <w:top w:val="nil"/>
              <w:left w:val="nil"/>
              <w:bottom w:val="single" w:sz="4" w:space="0" w:color="161513"/>
              <w:right w:val="nil"/>
            </w:tcBorders>
            <w:shd w:val="clear" w:color="4D4F5B" w:fill="44546A"/>
            <w:noWrap/>
            <w:vAlign w:val="center"/>
            <w:hideMark/>
          </w:tcPr>
          <w:p w14:paraId="7C1CC66F" w14:textId="77777777" w:rsidR="00A36C15" w:rsidRDefault="00A36C15">
            <w:pPr>
              <w:rPr>
                <w:rFonts w:ascii="Oracle Sans" w:hAnsi="Oracle Sans" w:cs="Calibri"/>
                <w:color w:val="FFFFFF"/>
                <w:sz w:val="17"/>
                <w:szCs w:val="17"/>
              </w:rPr>
            </w:pPr>
            <w:r>
              <w:rPr>
                <w:rFonts w:ascii="Oracle Sans" w:hAnsi="Oracle Sans" w:cs="Calibri"/>
                <w:color w:val="FFFFFF"/>
                <w:sz w:val="17"/>
                <w:szCs w:val="17"/>
              </w:rPr>
              <w:t>                      3.2 Inversión de cartera</w:t>
            </w:r>
          </w:p>
        </w:tc>
        <w:tc>
          <w:tcPr>
            <w:tcW w:w="1300" w:type="dxa"/>
            <w:tcBorders>
              <w:top w:val="nil"/>
              <w:left w:val="single" w:sz="4" w:space="0" w:color="auto"/>
              <w:bottom w:val="single" w:sz="4" w:space="0" w:color="auto"/>
              <w:right w:val="single" w:sz="4" w:space="0" w:color="auto"/>
            </w:tcBorders>
            <w:shd w:val="clear" w:color="FFFFFF" w:fill="FFFFFF"/>
            <w:noWrap/>
            <w:vAlign w:val="center"/>
            <w:hideMark/>
          </w:tcPr>
          <w:p w14:paraId="76F58CED" w14:textId="77777777" w:rsidR="00A36C15" w:rsidRDefault="00A36C15">
            <w:pPr>
              <w:jc w:val="right"/>
              <w:rPr>
                <w:rFonts w:ascii="Oracle Sans" w:hAnsi="Oracle Sans" w:cs="Calibri"/>
                <w:sz w:val="15"/>
                <w:szCs w:val="15"/>
              </w:rPr>
            </w:pPr>
            <w:r>
              <w:rPr>
                <w:rFonts w:ascii="Oracle Sans" w:hAnsi="Oracle Sans" w:cs="Calibri"/>
                <w:sz w:val="15"/>
                <w:szCs w:val="15"/>
              </w:rPr>
              <w:t>2.271,58</w:t>
            </w:r>
          </w:p>
        </w:tc>
        <w:tc>
          <w:tcPr>
            <w:tcW w:w="1300" w:type="dxa"/>
            <w:tcBorders>
              <w:top w:val="nil"/>
              <w:left w:val="nil"/>
              <w:bottom w:val="single" w:sz="4" w:space="0" w:color="auto"/>
              <w:right w:val="single" w:sz="4" w:space="0" w:color="auto"/>
            </w:tcBorders>
            <w:shd w:val="clear" w:color="FFFFFF" w:fill="FFFFFF"/>
            <w:noWrap/>
            <w:vAlign w:val="center"/>
            <w:hideMark/>
          </w:tcPr>
          <w:p w14:paraId="452C62FF" w14:textId="77777777" w:rsidR="00A36C15" w:rsidRDefault="00A36C15">
            <w:pPr>
              <w:jc w:val="right"/>
              <w:rPr>
                <w:rFonts w:ascii="Oracle Sans" w:hAnsi="Oracle Sans" w:cs="Calibri"/>
                <w:sz w:val="15"/>
                <w:szCs w:val="15"/>
              </w:rPr>
            </w:pPr>
            <w:r>
              <w:rPr>
                <w:rFonts w:ascii="Oracle Sans" w:hAnsi="Oracle Sans" w:cs="Calibri"/>
                <w:sz w:val="15"/>
                <w:szCs w:val="15"/>
              </w:rPr>
              <w:t>-7.480,37</w:t>
            </w:r>
          </w:p>
        </w:tc>
        <w:tc>
          <w:tcPr>
            <w:tcW w:w="1300" w:type="dxa"/>
            <w:tcBorders>
              <w:top w:val="nil"/>
              <w:left w:val="nil"/>
              <w:bottom w:val="single" w:sz="4" w:space="0" w:color="161513"/>
              <w:right w:val="single" w:sz="4" w:space="0" w:color="161513"/>
            </w:tcBorders>
            <w:shd w:val="clear" w:color="FFFFFF" w:fill="FFFFFF"/>
            <w:noWrap/>
            <w:vAlign w:val="center"/>
            <w:hideMark/>
          </w:tcPr>
          <w:p w14:paraId="52DEB710" w14:textId="77777777" w:rsidR="00A36C15" w:rsidRDefault="00A36C15">
            <w:pPr>
              <w:jc w:val="right"/>
              <w:rPr>
                <w:rFonts w:ascii="Oracle Sans" w:hAnsi="Oracle Sans" w:cs="Calibri"/>
                <w:sz w:val="15"/>
                <w:szCs w:val="15"/>
              </w:rPr>
            </w:pPr>
            <w:r>
              <w:rPr>
                <w:rFonts w:ascii="Oracle Sans" w:hAnsi="Oracle Sans" w:cs="Calibri"/>
                <w:sz w:val="15"/>
                <w:szCs w:val="15"/>
              </w:rPr>
              <w:t>-9.751,95</w:t>
            </w:r>
          </w:p>
        </w:tc>
      </w:tr>
      <w:tr w:rsidR="00A36C15" w14:paraId="3D14E81C" w14:textId="77777777" w:rsidTr="00A36C15">
        <w:trPr>
          <w:trHeight w:val="300"/>
        </w:trPr>
        <w:tc>
          <w:tcPr>
            <w:tcW w:w="4228" w:type="dxa"/>
            <w:tcBorders>
              <w:top w:val="nil"/>
              <w:left w:val="nil"/>
              <w:bottom w:val="single" w:sz="4" w:space="0" w:color="161513"/>
              <w:right w:val="nil"/>
            </w:tcBorders>
            <w:shd w:val="clear" w:color="4D4F5B" w:fill="44546A"/>
            <w:noWrap/>
            <w:vAlign w:val="center"/>
            <w:hideMark/>
          </w:tcPr>
          <w:p w14:paraId="3BBFF64B" w14:textId="77777777" w:rsidR="00A36C15" w:rsidRDefault="00A36C15">
            <w:pPr>
              <w:rPr>
                <w:rFonts w:ascii="Oracle Sans" w:hAnsi="Oracle Sans" w:cs="Calibri"/>
                <w:color w:val="FFFFFF"/>
                <w:sz w:val="17"/>
                <w:szCs w:val="17"/>
              </w:rPr>
            </w:pPr>
            <w:r>
              <w:rPr>
                <w:rFonts w:ascii="Oracle Sans" w:hAnsi="Oracle Sans" w:cs="Calibri"/>
                <w:color w:val="FFFFFF"/>
                <w:sz w:val="17"/>
                <w:szCs w:val="17"/>
              </w:rPr>
              <w:t>                             Adquisición neta de activos financieros</w:t>
            </w:r>
          </w:p>
        </w:tc>
        <w:tc>
          <w:tcPr>
            <w:tcW w:w="1300" w:type="dxa"/>
            <w:tcBorders>
              <w:top w:val="nil"/>
              <w:left w:val="single" w:sz="4" w:space="0" w:color="auto"/>
              <w:bottom w:val="single" w:sz="4" w:space="0" w:color="auto"/>
              <w:right w:val="single" w:sz="4" w:space="0" w:color="auto"/>
            </w:tcBorders>
            <w:shd w:val="clear" w:color="FFFFFF" w:fill="FFFFFF"/>
            <w:noWrap/>
            <w:vAlign w:val="center"/>
            <w:hideMark/>
          </w:tcPr>
          <w:p w14:paraId="4E58820C" w14:textId="77777777" w:rsidR="00A36C15" w:rsidRDefault="00A36C15">
            <w:pPr>
              <w:jc w:val="right"/>
              <w:rPr>
                <w:rFonts w:ascii="Oracle Sans" w:hAnsi="Oracle Sans" w:cs="Calibri"/>
                <w:sz w:val="15"/>
                <w:szCs w:val="15"/>
              </w:rPr>
            </w:pPr>
            <w:r>
              <w:rPr>
                <w:rFonts w:ascii="Oracle Sans" w:hAnsi="Oracle Sans" w:cs="Calibri"/>
                <w:sz w:val="15"/>
                <w:szCs w:val="15"/>
              </w:rPr>
              <w:t>5.384,33</w:t>
            </w:r>
          </w:p>
        </w:tc>
        <w:tc>
          <w:tcPr>
            <w:tcW w:w="1300" w:type="dxa"/>
            <w:tcBorders>
              <w:top w:val="nil"/>
              <w:left w:val="nil"/>
              <w:bottom w:val="single" w:sz="4" w:space="0" w:color="auto"/>
              <w:right w:val="single" w:sz="4" w:space="0" w:color="auto"/>
            </w:tcBorders>
            <w:shd w:val="clear" w:color="FFFFFF" w:fill="FFFFFF"/>
            <w:noWrap/>
            <w:vAlign w:val="center"/>
            <w:hideMark/>
          </w:tcPr>
          <w:p w14:paraId="3481E84B" w14:textId="77777777" w:rsidR="00A36C15" w:rsidRDefault="00A36C15">
            <w:pPr>
              <w:jc w:val="right"/>
              <w:rPr>
                <w:rFonts w:ascii="Oracle Sans" w:hAnsi="Oracle Sans" w:cs="Calibri"/>
                <w:sz w:val="15"/>
                <w:szCs w:val="15"/>
              </w:rPr>
            </w:pPr>
            <w:r>
              <w:rPr>
                <w:rFonts w:ascii="Oracle Sans" w:hAnsi="Oracle Sans" w:cs="Calibri"/>
                <w:sz w:val="15"/>
                <w:szCs w:val="15"/>
              </w:rPr>
              <w:t>12.390,76</w:t>
            </w:r>
          </w:p>
        </w:tc>
        <w:tc>
          <w:tcPr>
            <w:tcW w:w="1300" w:type="dxa"/>
            <w:tcBorders>
              <w:top w:val="nil"/>
              <w:left w:val="nil"/>
              <w:bottom w:val="single" w:sz="4" w:space="0" w:color="161513"/>
              <w:right w:val="single" w:sz="4" w:space="0" w:color="161513"/>
            </w:tcBorders>
            <w:shd w:val="clear" w:color="FFFFFF" w:fill="FFFFFF"/>
            <w:noWrap/>
            <w:vAlign w:val="center"/>
            <w:hideMark/>
          </w:tcPr>
          <w:p w14:paraId="76B9483B" w14:textId="77777777" w:rsidR="00A36C15" w:rsidRDefault="00A36C15">
            <w:pPr>
              <w:jc w:val="right"/>
              <w:rPr>
                <w:rFonts w:ascii="Oracle Sans" w:hAnsi="Oracle Sans" w:cs="Calibri"/>
                <w:sz w:val="15"/>
                <w:szCs w:val="15"/>
              </w:rPr>
            </w:pPr>
            <w:r>
              <w:rPr>
                <w:rFonts w:ascii="Oracle Sans" w:hAnsi="Oracle Sans" w:cs="Calibri"/>
                <w:sz w:val="15"/>
                <w:szCs w:val="15"/>
              </w:rPr>
              <w:t>7.006,43</w:t>
            </w:r>
          </w:p>
        </w:tc>
      </w:tr>
      <w:tr w:rsidR="00A36C15" w14:paraId="3287F987" w14:textId="77777777" w:rsidTr="00A36C15">
        <w:trPr>
          <w:trHeight w:val="300"/>
        </w:trPr>
        <w:tc>
          <w:tcPr>
            <w:tcW w:w="4228" w:type="dxa"/>
            <w:tcBorders>
              <w:top w:val="nil"/>
              <w:left w:val="nil"/>
              <w:bottom w:val="single" w:sz="4" w:space="0" w:color="161513"/>
              <w:right w:val="nil"/>
            </w:tcBorders>
            <w:shd w:val="clear" w:color="4D4F5B" w:fill="44546A"/>
            <w:noWrap/>
            <w:vAlign w:val="center"/>
            <w:hideMark/>
          </w:tcPr>
          <w:p w14:paraId="66194A91" w14:textId="77777777" w:rsidR="00A36C15" w:rsidRDefault="00A36C15">
            <w:pPr>
              <w:rPr>
                <w:rFonts w:ascii="Oracle Sans" w:hAnsi="Oracle Sans" w:cs="Calibri"/>
                <w:color w:val="FFFFFF"/>
                <w:sz w:val="17"/>
                <w:szCs w:val="17"/>
              </w:rPr>
            </w:pPr>
            <w:r>
              <w:rPr>
                <w:rFonts w:ascii="Oracle Sans" w:hAnsi="Oracle Sans" w:cs="Calibri"/>
                <w:color w:val="FFFFFF"/>
                <w:sz w:val="17"/>
                <w:szCs w:val="17"/>
              </w:rPr>
              <w:t>                             Pasivos netos incurridos</w:t>
            </w:r>
          </w:p>
        </w:tc>
        <w:tc>
          <w:tcPr>
            <w:tcW w:w="1300" w:type="dxa"/>
            <w:tcBorders>
              <w:top w:val="nil"/>
              <w:left w:val="single" w:sz="4" w:space="0" w:color="auto"/>
              <w:bottom w:val="single" w:sz="4" w:space="0" w:color="auto"/>
              <w:right w:val="single" w:sz="4" w:space="0" w:color="auto"/>
            </w:tcBorders>
            <w:shd w:val="clear" w:color="FFFFFF" w:fill="FFFFFF"/>
            <w:noWrap/>
            <w:vAlign w:val="center"/>
            <w:hideMark/>
          </w:tcPr>
          <w:p w14:paraId="734E990E" w14:textId="77777777" w:rsidR="00A36C15" w:rsidRDefault="00A36C15">
            <w:pPr>
              <w:jc w:val="right"/>
              <w:rPr>
                <w:rFonts w:ascii="Oracle Sans" w:hAnsi="Oracle Sans" w:cs="Calibri"/>
                <w:sz w:val="15"/>
                <w:szCs w:val="15"/>
              </w:rPr>
            </w:pPr>
            <w:r>
              <w:rPr>
                <w:rFonts w:ascii="Oracle Sans" w:hAnsi="Oracle Sans" w:cs="Calibri"/>
                <w:sz w:val="15"/>
                <w:szCs w:val="15"/>
              </w:rPr>
              <w:t>3.112,75</w:t>
            </w:r>
          </w:p>
        </w:tc>
        <w:tc>
          <w:tcPr>
            <w:tcW w:w="1300" w:type="dxa"/>
            <w:tcBorders>
              <w:top w:val="nil"/>
              <w:left w:val="nil"/>
              <w:bottom w:val="single" w:sz="4" w:space="0" w:color="auto"/>
              <w:right w:val="single" w:sz="4" w:space="0" w:color="auto"/>
            </w:tcBorders>
            <w:shd w:val="clear" w:color="FFFFFF" w:fill="FFFFFF"/>
            <w:noWrap/>
            <w:vAlign w:val="center"/>
            <w:hideMark/>
          </w:tcPr>
          <w:p w14:paraId="29529C02" w14:textId="77777777" w:rsidR="00A36C15" w:rsidRDefault="00A36C15">
            <w:pPr>
              <w:jc w:val="right"/>
              <w:rPr>
                <w:rFonts w:ascii="Oracle Sans" w:hAnsi="Oracle Sans" w:cs="Calibri"/>
                <w:sz w:val="15"/>
                <w:szCs w:val="15"/>
              </w:rPr>
            </w:pPr>
            <w:r>
              <w:rPr>
                <w:rFonts w:ascii="Oracle Sans" w:hAnsi="Oracle Sans" w:cs="Calibri"/>
                <w:sz w:val="15"/>
                <w:szCs w:val="15"/>
              </w:rPr>
              <w:t>19.871,13</w:t>
            </w:r>
          </w:p>
        </w:tc>
        <w:tc>
          <w:tcPr>
            <w:tcW w:w="1300" w:type="dxa"/>
            <w:tcBorders>
              <w:top w:val="nil"/>
              <w:left w:val="nil"/>
              <w:bottom w:val="single" w:sz="4" w:space="0" w:color="161513"/>
              <w:right w:val="single" w:sz="4" w:space="0" w:color="161513"/>
            </w:tcBorders>
            <w:shd w:val="clear" w:color="FFFFFF" w:fill="FFFFFF"/>
            <w:noWrap/>
            <w:vAlign w:val="center"/>
            <w:hideMark/>
          </w:tcPr>
          <w:p w14:paraId="6137BE2F" w14:textId="77777777" w:rsidR="00A36C15" w:rsidRDefault="00A36C15">
            <w:pPr>
              <w:jc w:val="right"/>
              <w:rPr>
                <w:rFonts w:ascii="Oracle Sans" w:hAnsi="Oracle Sans" w:cs="Calibri"/>
                <w:sz w:val="15"/>
                <w:szCs w:val="15"/>
              </w:rPr>
            </w:pPr>
            <w:r>
              <w:rPr>
                <w:rFonts w:ascii="Oracle Sans" w:hAnsi="Oracle Sans" w:cs="Calibri"/>
                <w:sz w:val="15"/>
                <w:szCs w:val="15"/>
              </w:rPr>
              <w:t>16.758,38</w:t>
            </w:r>
          </w:p>
        </w:tc>
      </w:tr>
      <w:tr w:rsidR="00A36C15" w14:paraId="30A53E65" w14:textId="77777777" w:rsidTr="00A36C15">
        <w:trPr>
          <w:trHeight w:val="300"/>
        </w:trPr>
        <w:tc>
          <w:tcPr>
            <w:tcW w:w="4228" w:type="dxa"/>
            <w:tcBorders>
              <w:top w:val="nil"/>
              <w:left w:val="nil"/>
              <w:bottom w:val="single" w:sz="4" w:space="0" w:color="161513"/>
              <w:right w:val="nil"/>
            </w:tcBorders>
            <w:shd w:val="clear" w:color="4D4F5B" w:fill="44546A"/>
            <w:noWrap/>
            <w:vAlign w:val="center"/>
            <w:hideMark/>
          </w:tcPr>
          <w:p w14:paraId="257C6B77" w14:textId="77777777" w:rsidR="00A36C15" w:rsidRDefault="00A36C15">
            <w:pPr>
              <w:rPr>
                <w:rFonts w:ascii="Oracle Sans" w:hAnsi="Oracle Sans" w:cs="Calibri"/>
                <w:color w:val="FFFFFF"/>
                <w:sz w:val="17"/>
                <w:szCs w:val="17"/>
              </w:rPr>
            </w:pPr>
            <w:r>
              <w:rPr>
                <w:rFonts w:ascii="Oracle Sans" w:hAnsi="Oracle Sans" w:cs="Calibri"/>
                <w:color w:val="FFFFFF"/>
                <w:sz w:val="17"/>
                <w:szCs w:val="17"/>
              </w:rPr>
              <w:t xml:space="preserve">                      3.3 Derivados financieros </w:t>
            </w:r>
          </w:p>
        </w:tc>
        <w:tc>
          <w:tcPr>
            <w:tcW w:w="1300" w:type="dxa"/>
            <w:tcBorders>
              <w:top w:val="nil"/>
              <w:left w:val="single" w:sz="4" w:space="0" w:color="auto"/>
              <w:bottom w:val="single" w:sz="4" w:space="0" w:color="auto"/>
              <w:right w:val="single" w:sz="4" w:space="0" w:color="auto"/>
            </w:tcBorders>
            <w:shd w:val="clear" w:color="FFFFFF" w:fill="FFFFFF"/>
            <w:noWrap/>
            <w:vAlign w:val="center"/>
            <w:hideMark/>
          </w:tcPr>
          <w:p w14:paraId="31336948" w14:textId="77777777" w:rsidR="00A36C15" w:rsidRDefault="00A36C15">
            <w:pPr>
              <w:jc w:val="right"/>
              <w:rPr>
                <w:rFonts w:ascii="Oracle Sans" w:hAnsi="Oracle Sans" w:cs="Calibri"/>
                <w:sz w:val="15"/>
                <w:szCs w:val="15"/>
              </w:rPr>
            </w:pPr>
            <w:r>
              <w:rPr>
                <w:rFonts w:ascii="Oracle Sans" w:hAnsi="Oracle Sans" w:cs="Calibri"/>
                <w:sz w:val="15"/>
                <w:szCs w:val="15"/>
              </w:rPr>
              <w:t>-56,66</w:t>
            </w:r>
          </w:p>
        </w:tc>
        <w:tc>
          <w:tcPr>
            <w:tcW w:w="1300" w:type="dxa"/>
            <w:tcBorders>
              <w:top w:val="nil"/>
              <w:left w:val="nil"/>
              <w:bottom w:val="single" w:sz="4" w:space="0" w:color="auto"/>
              <w:right w:val="single" w:sz="4" w:space="0" w:color="auto"/>
            </w:tcBorders>
            <w:shd w:val="clear" w:color="FFFFFF" w:fill="FFFFFF"/>
            <w:noWrap/>
            <w:vAlign w:val="center"/>
            <w:hideMark/>
          </w:tcPr>
          <w:p w14:paraId="1C5AB9B6" w14:textId="77777777" w:rsidR="00A36C15" w:rsidRDefault="00A36C15">
            <w:pPr>
              <w:jc w:val="right"/>
              <w:rPr>
                <w:rFonts w:ascii="Oracle Sans" w:hAnsi="Oracle Sans" w:cs="Calibri"/>
                <w:sz w:val="15"/>
                <w:szCs w:val="15"/>
              </w:rPr>
            </w:pPr>
            <w:r>
              <w:rPr>
                <w:rFonts w:ascii="Oracle Sans" w:hAnsi="Oracle Sans" w:cs="Calibri"/>
                <w:sz w:val="15"/>
                <w:szCs w:val="15"/>
              </w:rPr>
              <w:t>-1.707,43</w:t>
            </w:r>
          </w:p>
        </w:tc>
        <w:tc>
          <w:tcPr>
            <w:tcW w:w="1300" w:type="dxa"/>
            <w:tcBorders>
              <w:top w:val="nil"/>
              <w:left w:val="nil"/>
              <w:bottom w:val="single" w:sz="4" w:space="0" w:color="161513"/>
              <w:right w:val="single" w:sz="4" w:space="0" w:color="161513"/>
            </w:tcBorders>
            <w:shd w:val="clear" w:color="FFFFFF" w:fill="FFFFFF"/>
            <w:noWrap/>
            <w:vAlign w:val="center"/>
            <w:hideMark/>
          </w:tcPr>
          <w:p w14:paraId="5F934AB0" w14:textId="77777777" w:rsidR="00A36C15" w:rsidRDefault="00A36C15">
            <w:pPr>
              <w:jc w:val="right"/>
              <w:rPr>
                <w:rFonts w:ascii="Oracle Sans" w:hAnsi="Oracle Sans" w:cs="Calibri"/>
                <w:sz w:val="15"/>
                <w:szCs w:val="15"/>
              </w:rPr>
            </w:pPr>
            <w:r>
              <w:rPr>
                <w:rFonts w:ascii="Oracle Sans" w:hAnsi="Oracle Sans" w:cs="Calibri"/>
                <w:sz w:val="15"/>
                <w:szCs w:val="15"/>
              </w:rPr>
              <w:t>-1.650,77</w:t>
            </w:r>
          </w:p>
        </w:tc>
      </w:tr>
      <w:tr w:rsidR="00A36C15" w14:paraId="376B8F16" w14:textId="77777777" w:rsidTr="00A36C15">
        <w:trPr>
          <w:trHeight w:val="300"/>
        </w:trPr>
        <w:tc>
          <w:tcPr>
            <w:tcW w:w="4228" w:type="dxa"/>
            <w:tcBorders>
              <w:top w:val="nil"/>
              <w:left w:val="nil"/>
              <w:bottom w:val="single" w:sz="4" w:space="0" w:color="161513"/>
              <w:right w:val="nil"/>
            </w:tcBorders>
            <w:shd w:val="clear" w:color="4D4F5B" w:fill="44546A"/>
            <w:noWrap/>
            <w:vAlign w:val="center"/>
            <w:hideMark/>
          </w:tcPr>
          <w:p w14:paraId="4E577737" w14:textId="77777777" w:rsidR="00A36C15" w:rsidRDefault="00A36C15">
            <w:pPr>
              <w:rPr>
                <w:rFonts w:ascii="Oracle Sans" w:hAnsi="Oracle Sans" w:cs="Calibri"/>
                <w:color w:val="FFFFFF"/>
                <w:sz w:val="17"/>
                <w:szCs w:val="17"/>
              </w:rPr>
            </w:pPr>
            <w:r>
              <w:rPr>
                <w:rFonts w:ascii="Oracle Sans" w:hAnsi="Oracle Sans" w:cs="Calibri"/>
                <w:color w:val="FFFFFF"/>
                <w:sz w:val="17"/>
                <w:szCs w:val="17"/>
              </w:rPr>
              <w:t>                             Adquisición neta de activos financieros</w:t>
            </w:r>
          </w:p>
        </w:tc>
        <w:tc>
          <w:tcPr>
            <w:tcW w:w="1300" w:type="dxa"/>
            <w:tcBorders>
              <w:top w:val="nil"/>
              <w:left w:val="single" w:sz="4" w:space="0" w:color="auto"/>
              <w:bottom w:val="single" w:sz="4" w:space="0" w:color="auto"/>
              <w:right w:val="single" w:sz="4" w:space="0" w:color="auto"/>
            </w:tcBorders>
            <w:shd w:val="clear" w:color="FFFFFF" w:fill="FFFFFF"/>
            <w:noWrap/>
            <w:vAlign w:val="center"/>
            <w:hideMark/>
          </w:tcPr>
          <w:p w14:paraId="0C85609C" w14:textId="77777777" w:rsidR="00A36C15" w:rsidRDefault="00A36C15">
            <w:pPr>
              <w:jc w:val="right"/>
              <w:rPr>
                <w:rFonts w:ascii="Oracle Sans" w:hAnsi="Oracle Sans" w:cs="Calibri"/>
                <w:sz w:val="15"/>
                <w:szCs w:val="15"/>
              </w:rPr>
            </w:pPr>
            <w:r>
              <w:rPr>
                <w:rFonts w:ascii="Oracle Sans" w:hAnsi="Oracle Sans" w:cs="Calibri"/>
                <w:sz w:val="15"/>
                <w:szCs w:val="15"/>
              </w:rPr>
              <w:t>-575,17</w:t>
            </w:r>
          </w:p>
        </w:tc>
        <w:tc>
          <w:tcPr>
            <w:tcW w:w="1300" w:type="dxa"/>
            <w:tcBorders>
              <w:top w:val="nil"/>
              <w:left w:val="nil"/>
              <w:bottom w:val="single" w:sz="4" w:space="0" w:color="auto"/>
              <w:right w:val="single" w:sz="4" w:space="0" w:color="auto"/>
            </w:tcBorders>
            <w:shd w:val="clear" w:color="FFFFFF" w:fill="FFFFFF"/>
            <w:noWrap/>
            <w:vAlign w:val="center"/>
            <w:hideMark/>
          </w:tcPr>
          <w:p w14:paraId="73D7FC29" w14:textId="77777777" w:rsidR="00A36C15" w:rsidRDefault="00A36C15">
            <w:pPr>
              <w:jc w:val="right"/>
              <w:rPr>
                <w:rFonts w:ascii="Oracle Sans" w:hAnsi="Oracle Sans" w:cs="Calibri"/>
                <w:sz w:val="15"/>
                <w:szCs w:val="15"/>
              </w:rPr>
            </w:pPr>
            <w:r>
              <w:rPr>
                <w:rFonts w:ascii="Oracle Sans" w:hAnsi="Oracle Sans" w:cs="Calibri"/>
                <w:sz w:val="15"/>
                <w:szCs w:val="15"/>
              </w:rPr>
              <w:t>-1.707,43</w:t>
            </w:r>
          </w:p>
        </w:tc>
        <w:tc>
          <w:tcPr>
            <w:tcW w:w="1300" w:type="dxa"/>
            <w:tcBorders>
              <w:top w:val="nil"/>
              <w:left w:val="nil"/>
              <w:bottom w:val="single" w:sz="4" w:space="0" w:color="161513"/>
              <w:right w:val="single" w:sz="4" w:space="0" w:color="161513"/>
            </w:tcBorders>
            <w:shd w:val="clear" w:color="FFFFFF" w:fill="FFFFFF"/>
            <w:noWrap/>
            <w:vAlign w:val="center"/>
            <w:hideMark/>
          </w:tcPr>
          <w:p w14:paraId="3FF1B9A4" w14:textId="77777777" w:rsidR="00A36C15" w:rsidRDefault="00A36C15">
            <w:pPr>
              <w:jc w:val="right"/>
              <w:rPr>
                <w:rFonts w:ascii="Oracle Sans" w:hAnsi="Oracle Sans" w:cs="Calibri"/>
                <w:sz w:val="15"/>
                <w:szCs w:val="15"/>
              </w:rPr>
            </w:pPr>
            <w:r>
              <w:rPr>
                <w:rFonts w:ascii="Oracle Sans" w:hAnsi="Oracle Sans" w:cs="Calibri"/>
                <w:sz w:val="15"/>
                <w:szCs w:val="15"/>
              </w:rPr>
              <w:t>-1.132,26</w:t>
            </w:r>
          </w:p>
        </w:tc>
      </w:tr>
      <w:tr w:rsidR="00A36C15" w14:paraId="4FF27833" w14:textId="77777777" w:rsidTr="00A36C15">
        <w:trPr>
          <w:trHeight w:val="300"/>
        </w:trPr>
        <w:tc>
          <w:tcPr>
            <w:tcW w:w="4228" w:type="dxa"/>
            <w:tcBorders>
              <w:top w:val="nil"/>
              <w:left w:val="nil"/>
              <w:bottom w:val="single" w:sz="4" w:space="0" w:color="161513"/>
              <w:right w:val="nil"/>
            </w:tcBorders>
            <w:shd w:val="clear" w:color="4D4F5B" w:fill="44546A"/>
            <w:noWrap/>
            <w:vAlign w:val="center"/>
            <w:hideMark/>
          </w:tcPr>
          <w:p w14:paraId="345D15E9" w14:textId="77777777" w:rsidR="00A36C15" w:rsidRDefault="00A36C15">
            <w:pPr>
              <w:rPr>
                <w:rFonts w:ascii="Oracle Sans" w:hAnsi="Oracle Sans" w:cs="Calibri"/>
                <w:color w:val="FFFFFF"/>
                <w:sz w:val="17"/>
                <w:szCs w:val="17"/>
              </w:rPr>
            </w:pPr>
            <w:r>
              <w:rPr>
                <w:rFonts w:ascii="Oracle Sans" w:hAnsi="Oracle Sans" w:cs="Calibri"/>
                <w:color w:val="FFFFFF"/>
                <w:sz w:val="17"/>
                <w:szCs w:val="17"/>
              </w:rPr>
              <w:t>                             Pasivos netos incurridos</w:t>
            </w:r>
          </w:p>
        </w:tc>
        <w:tc>
          <w:tcPr>
            <w:tcW w:w="1300" w:type="dxa"/>
            <w:tcBorders>
              <w:top w:val="nil"/>
              <w:left w:val="single" w:sz="4" w:space="0" w:color="auto"/>
              <w:bottom w:val="single" w:sz="4" w:space="0" w:color="auto"/>
              <w:right w:val="single" w:sz="4" w:space="0" w:color="auto"/>
            </w:tcBorders>
            <w:shd w:val="clear" w:color="FFFFFF" w:fill="FFFFFF"/>
            <w:noWrap/>
            <w:vAlign w:val="center"/>
            <w:hideMark/>
          </w:tcPr>
          <w:p w14:paraId="721E5A17" w14:textId="77777777" w:rsidR="00A36C15" w:rsidRDefault="00A36C15">
            <w:pPr>
              <w:jc w:val="right"/>
              <w:rPr>
                <w:rFonts w:ascii="Oracle Sans" w:hAnsi="Oracle Sans" w:cs="Calibri"/>
                <w:sz w:val="15"/>
                <w:szCs w:val="15"/>
              </w:rPr>
            </w:pPr>
            <w:r>
              <w:rPr>
                <w:rFonts w:ascii="Oracle Sans" w:hAnsi="Oracle Sans" w:cs="Calibri"/>
                <w:sz w:val="15"/>
                <w:szCs w:val="15"/>
              </w:rPr>
              <w:t>-518,51</w:t>
            </w:r>
          </w:p>
        </w:tc>
        <w:tc>
          <w:tcPr>
            <w:tcW w:w="1300" w:type="dxa"/>
            <w:tcBorders>
              <w:top w:val="nil"/>
              <w:left w:val="nil"/>
              <w:bottom w:val="single" w:sz="4" w:space="0" w:color="auto"/>
              <w:right w:val="single" w:sz="4" w:space="0" w:color="auto"/>
            </w:tcBorders>
            <w:shd w:val="clear" w:color="FFFFFF" w:fill="FFFFFF"/>
            <w:noWrap/>
            <w:vAlign w:val="center"/>
            <w:hideMark/>
          </w:tcPr>
          <w:p w14:paraId="11732B61" w14:textId="77777777" w:rsidR="00A36C15" w:rsidRDefault="00A36C15">
            <w:pPr>
              <w:jc w:val="right"/>
              <w:rPr>
                <w:rFonts w:ascii="Oracle Sans" w:hAnsi="Oracle Sans" w:cs="Calibri"/>
                <w:sz w:val="15"/>
                <w:szCs w:val="15"/>
              </w:rPr>
            </w:pPr>
            <w:r>
              <w:rPr>
                <w:rFonts w:ascii="Oracle Sans" w:hAnsi="Oracle Sans" w:cs="Calibri"/>
                <w:sz w:val="15"/>
                <w:szCs w:val="15"/>
              </w:rPr>
              <w:t>0,00</w:t>
            </w:r>
          </w:p>
        </w:tc>
        <w:tc>
          <w:tcPr>
            <w:tcW w:w="1300" w:type="dxa"/>
            <w:tcBorders>
              <w:top w:val="nil"/>
              <w:left w:val="nil"/>
              <w:bottom w:val="single" w:sz="4" w:space="0" w:color="161513"/>
              <w:right w:val="single" w:sz="4" w:space="0" w:color="161513"/>
            </w:tcBorders>
            <w:shd w:val="clear" w:color="FFFFFF" w:fill="FFFFFF"/>
            <w:noWrap/>
            <w:vAlign w:val="center"/>
            <w:hideMark/>
          </w:tcPr>
          <w:p w14:paraId="0A53E7DB" w14:textId="77777777" w:rsidR="00A36C15" w:rsidRDefault="00A36C15">
            <w:pPr>
              <w:jc w:val="right"/>
              <w:rPr>
                <w:rFonts w:ascii="Oracle Sans" w:hAnsi="Oracle Sans" w:cs="Calibri"/>
                <w:sz w:val="15"/>
                <w:szCs w:val="15"/>
              </w:rPr>
            </w:pPr>
            <w:r>
              <w:rPr>
                <w:rFonts w:ascii="Oracle Sans" w:hAnsi="Oracle Sans" w:cs="Calibri"/>
                <w:sz w:val="15"/>
                <w:szCs w:val="15"/>
              </w:rPr>
              <w:t>518,51</w:t>
            </w:r>
          </w:p>
        </w:tc>
      </w:tr>
      <w:tr w:rsidR="00A36C15" w14:paraId="2DBCC624" w14:textId="77777777" w:rsidTr="00A36C15">
        <w:trPr>
          <w:trHeight w:val="300"/>
        </w:trPr>
        <w:tc>
          <w:tcPr>
            <w:tcW w:w="4228" w:type="dxa"/>
            <w:tcBorders>
              <w:top w:val="nil"/>
              <w:left w:val="nil"/>
              <w:bottom w:val="single" w:sz="4" w:space="0" w:color="161513"/>
              <w:right w:val="nil"/>
            </w:tcBorders>
            <w:shd w:val="clear" w:color="4D4F5B" w:fill="44546A"/>
            <w:noWrap/>
            <w:vAlign w:val="center"/>
            <w:hideMark/>
          </w:tcPr>
          <w:p w14:paraId="23FA2CD9" w14:textId="77777777" w:rsidR="00A36C15" w:rsidRDefault="00A36C15">
            <w:pPr>
              <w:rPr>
                <w:rFonts w:ascii="Oracle Sans" w:hAnsi="Oracle Sans" w:cs="Calibri"/>
                <w:color w:val="FFFFFF"/>
                <w:sz w:val="17"/>
                <w:szCs w:val="17"/>
              </w:rPr>
            </w:pPr>
            <w:r>
              <w:rPr>
                <w:rFonts w:ascii="Oracle Sans" w:hAnsi="Oracle Sans" w:cs="Calibri"/>
                <w:color w:val="FFFFFF"/>
                <w:sz w:val="17"/>
                <w:szCs w:val="17"/>
              </w:rPr>
              <w:t>                      3.4 Otra inversión</w:t>
            </w:r>
          </w:p>
        </w:tc>
        <w:tc>
          <w:tcPr>
            <w:tcW w:w="1300" w:type="dxa"/>
            <w:tcBorders>
              <w:top w:val="nil"/>
              <w:left w:val="single" w:sz="4" w:space="0" w:color="auto"/>
              <w:bottom w:val="single" w:sz="4" w:space="0" w:color="auto"/>
              <w:right w:val="single" w:sz="4" w:space="0" w:color="auto"/>
            </w:tcBorders>
            <w:shd w:val="clear" w:color="FFFFFF" w:fill="FFFFFF"/>
            <w:noWrap/>
            <w:vAlign w:val="center"/>
            <w:hideMark/>
          </w:tcPr>
          <w:p w14:paraId="4F973F06" w14:textId="77777777" w:rsidR="00A36C15" w:rsidRDefault="00A36C15">
            <w:pPr>
              <w:jc w:val="right"/>
              <w:rPr>
                <w:rFonts w:ascii="Oracle Sans" w:hAnsi="Oracle Sans" w:cs="Calibri"/>
                <w:sz w:val="15"/>
                <w:szCs w:val="15"/>
              </w:rPr>
            </w:pPr>
            <w:r>
              <w:rPr>
                <w:rFonts w:ascii="Oracle Sans" w:hAnsi="Oracle Sans" w:cs="Calibri"/>
                <w:sz w:val="15"/>
                <w:szCs w:val="15"/>
              </w:rPr>
              <w:t>-2.213,45</w:t>
            </w:r>
          </w:p>
        </w:tc>
        <w:tc>
          <w:tcPr>
            <w:tcW w:w="1300" w:type="dxa"/>
            <w:tcBorders>
              <w:top w:val="nil"/>
              <w:left w:val="nil"/>
              <w:bottom w:val="single" w:sz="4" w:space="0" w:color="auto"/>
              <w:right w:val="single" w:sz="4" w:space="0" w:color="auto"/>
            </w:tcBorders>
            <w:shd w:val="clear" w:color="FFFFFF" w:fill="FFFFFF"/>
            <w:noWrap/>
            <w:vAlign w:val="center"/>
            <w:hideMark/>
          </w:tcPr>
          <w:p w14:paraId="785999E0" w14:textId="77777777" w:rsidR="00A36C15" w:rsidRDefault="00A36C15">
            <w:pPr>
              <w:jc w:val="right"/>
              <w:rPr>
                <w:rFonts w:ascii="Oracle Sans" w:hAnsi="Oracle Sans" w:cs="Calibri"/>
                <w:sz w:val="15"/>
                <w:szCs w:val="15"/>
              </w:rPr>
            </w:pPr>
            <w:r>
              <w:rPr>
                <w:rFonts w:ascii="Oracle Sans" w:hAnsi="Oracle Sans" w:cs="Calibri"/>
                <w:sz w:val="15"/>
                <w:szCs w:val="15"/>
              </w:rPr>
              <w:t>5.285,09</w:t>
            </w:r>
          </w:p>
        </w:tc>
        <w:tc>
          <w:tcPr>
            <w:tcW w:w="1300" w:type="dxa"/>
            <w:tcBorders>
              <w:top w:val="nil"/>
              <w:left w:val="nil"/>
              <w:bottom w:val="single" w:sz="4" w:space="0" w:color="161513"/>
              <w:right w:val="single" w:sz="4" w:space="0" w:color="161513"/>
            </w:tcBorders>
            <w:shd w:val="clear" w:color="FFFFFF" w:fill="FFFFFF"/>
            <w:noWrap/>
            <w:vAlign w:val="center"/>
            <w:hideMark/>
          </w:tcPr>
          <w:p w14:paraId="20711845" w14:textId="77777777" w:rsidR="00A36C15" w:rsidRDefault="00A36C15">
            <w:pPr>
              <w:jc w:val="right"/>
              <w:rPr>
                <w:rFonts w:ascii="Oracle Sans" w:hAnsi="Oracle Sans" w:cs="Calibri"/>
                <w:sz w:val="15"/>
                <w:szCs w:val="15"/>
              </w:rPr>
            </w:pPr>
            <w:r>
              <w:rPr>
                <w:rFonts w:ascii="Oracle Sans" w:hAnsi="Oracle Sans" w:cs="Calibri"/>
                <w:sz w:val="15"/>
                <w:szCs w:val="15"/>
              </w:rPr>
              <w:t>7.498,54</w:t>
            </w:r>
          </w:p>
        </w:tc>
      </w:tr>
      <w:tr w:rsidR="00A36C15" w14:paraId="6CA0AF32" w14:textId="77777777" w:rsidTr="00A36C15">
        <w:trPr>
          <w:trHeight w:val="300"/>
        </w:trPr>
        <w:tc>
          <w:tcPr>
            <w:tcW w:w="4228" w:type="dxa"/>
            <w:tcBorders>
              <w:top w:val="nil"/>
              <w:left w:val="nil"/>
              <w:bottom w:val="single" w:sz="4" w:space="0" w:color="161513"/>
              <w:right w:val="nil"/>
            </w:tcBorders>
            <w:shd w:val="clear" w:color="4D4F5B" w:fill="44546A"/>
            <w:noWrap/>
            <w:vAlign w:val="center"/>
            <w:hideMark/>
          </w:tcPr>
          <w:p w14:paraId="3E0A19F6" w14:textId="77777777" w:rsidR="00A36C15" w:rsidRDefault="00A36C15">
            <w:pPr>
              <w:rPr>
                <w:rFonts w:ascii="Oracle Sans" w:hAnsi="Oracle Sans" w:cs="Calibri"/>
                <w:color w:val="FFFFFF"/>
                <w:sz w:val="17"/>
                <w:szCs w:val="17"/>
              </w:rPr>
            </w:pPr>
            <w:r>
              <w:rPr>
                <w:rFonts w:ascii="Oracle Sans" w:hAnsi="Oracle Sans" w:cs="Calibri"/>
                <w:color w:val="FFFFFF"/>
                <w:sz w:val="17"/>
                <w:szCs w:val="17"/>
              </w:rPr>
              <w:t>                             Adquisición neta de activos financieros</w:t>
            </w:r>
          </w:p>
        </w:tc>
        <w:tc>
          <w:tcPr>
            <w:tcW w:w="1300" w:type="dxa"/>
            <w:tcBorders>
              <w:top w:val="nil"/>
              <w:left w:val="single" w:sz="4" w:space="0" w:color="auto"/>
              <w:bottom w:val="single" w:sz="4" w:space="0" w:color="auto"/>
              <w:right w:val="single" w:sz="4" w:space="0" w:color="auto"/>
            </w:tcBorders>
            <w:shd w:val="clear" w:color="FFFFFF" w:fill="FFFFFF"/>
            <w:noWrap/>
            <w:vAlign w:val="center"/>
            <w:hideMark/>
          </w:tcPr>
          <w:p w14:paraId="2492C5C4" w14:textId="77777777" w:rsidR="00A36C15" w:rsidRDefault="00A36C15">
            <w:pPr>
              <w:jc w:val="right"/>
              <w:rPr>
                <w:rFonts w:ascii="Oracle Sans" w:hAnsi="Oracle Sans" w:cs="Calibri"/>
                <w:sz w:val="15"/>
                <w:szCs w:val="15"/>
              </w:rPr>
            </w:pPr>
            <w:r>
              <w:rPr>
                <w:rFonts w:ascii="Oracle Sans" w:hAnsi="Oracle Sans" w:cs="Calibri"/>
                <w:sz w:val="15"/>
                <w:szCs w:val="15"/>
              </w:rPr>
              <w:t>101,72</w:t>
            </w:r>
          </w:p>
        </w:tc>
        <w:tc>
          <w:tcPr>
            <w:tcW w:w="1300" w:type="dxa"/>
            <w:tcBorders>
              <w:top w:val="nil"/>
              <w:left w:val="nil"/>
              <w:bottom w:val="single" w:sz="4" w:space="0" w:color="auto"/>
              <w:right w:val="single" w:sz="4" w:space="0" w:color="auto"/>
            </w:tcBorders>
            <w:shd w:val="clear" w:color="FFFFFF" w:fill="FFFFFF"/>
            <w:noWrap/>
            <w:vAlign w:val="center"/>
            <w:hideMark/>
          </w:tcPr>
          <w:p w14:paraId="2DB9AA0D" w14:textId="77777777" w:rsidR="00A36C15" w:rsidRDefault="00A36C15">
            <w:pPr>
              <w:jc w:val="right"/>
              <w:rPr>
                <w:rFonts w:ascii="Oracle Sans" w:hAnsi="Oracle Sans" w:cs="Calibri"/>
                <w:sz w:val="15"/>
                <w:szCs w:val="15"/>
              </w:rPr>
            </w:pPr>
            <w:r>
              <w:rPr>
                <w:rFonts w:ascii="Oracle Sans" w:hAnsi="Oracle Sans" w:cs="Calibri"/>
                <w:sz w:val="15"/>
                <w:szCs w:val="15"/>
              </w:rPr>
              <w:t>6.134,75</w:t>
            </w:r>
          </w:p>
        </w:tc>
        <w:tc>
          <w:tcPr>
            <w:tcW w:w="1300" w:type="dxa"/>
            <w:tcBorders>
              <w:top w:val="nil"/>
              <w:left w:val="nil"/>
              <w:bottom w:val="single" w:sz="4" w:space="0" w:color="161513"/>
              <w:right w:val="single" w:sz="4" w:space="0" w:color="161513"/>
            </w:tcBorders>
            <w:shd w:val="clear" w:color="FFFFFF" w:fill="FFFFFF"/>
            <w:noWrap/>
            <w:vAlign w:val="center"/>
            <w:hideMark/>
          </w:tcPr>
          <w:p w14:paraId="46BD70E4" w14:textId="77777777" w:rsidR="00A36C15" w:rsidRDefault="00A36C15">
            <w:pPr>
              <w:jc w:val="right"/>
              <w:rPr>
                <w:rFonts w:ascii="Oracle Sans" w:hAnsi="Oracle Sans" w:cs="Calibri"/>
                <w:sz w:val="15"/>
                <w:szCs w:val="15"/>
              </w:rPr>
            </w:pPr>
            <w:r>
              <w:rPr>
                <w:rFonts w:ascii="Oracle Sans" w:hAnsi="Oracle Sans" w:cs="Calibri"/>
                <w:sz w:val="15"/>
                <w:szCs w:val="15"/>
              </w:rPr>
              <w:t>6.033,03</w:t>
            </w:r>
          </w:p>
        </w:tc>
      </w:tr>
      <w:tr w:rsidR="00A36C15" w14:paraId="7677512E" w14:textId="77777777" w:rsidTr="00A36C15">
        <w:trPr>
          <w:trHeight w:val="300"/>
        </w:trPr>
        <w:tc>
          <w:tcPr>
            <w:tcW w:w="4228" w:type="dxa"/>
            <w:tcBorders>
              <w:top w:val="nil"/>
              <w:left w:val="nil"/>
              <w:bottom w:val="single" w:sz="4" w:space="0" w:color="161513"/>
              <w:right w:val="nil"/>
            </w:tcBorders>
            <w:shd w:val="clear" w:color="4D4F5B" w:fill="44546A"/>
            <w:noWrap/>
            <w:vAlign w:val="center"/>
            <w:hideMark/>
          </w:tcPr>
          <w:p w14:paraId="6B6DFF3B" w14:textId="77777777" w:rsidR="00A36C15" w:rsidRDefault="00A36C15">
            <w:pPr>
              <w:rPr>
                <w:rFonts w:ascii="Oracle Sans" w:hAnsi="Oracle Sans" w:cs="Calibri"/>
                <w:color w:val="FFFFFF"/>
                <w:sz w:val="17"/>
                <w:szCs w:val="17"/>
              </w:rPr>
            </w:pPr>
            <w:r>
              <w:rPr>
                <w:rFonts w:ascii="Oracle Sans" w:hAnsi="Oracle Sans" w:cs="Calibri"/>
                <w:color w:val="FFFFFF"/>
                <w:sz w:val="17"/>
                <w:szCs w:val="17"/>
              </w:rPr>
              <w:t>                             Pasivos netos incurridos</w:t>
            </w:r>
          </w:p>
        </w:tc>
        <w:tc>
          <w:tcPr>
            <w:tcW w:w="1300" w:type="dxa"/>
            <w:tcBorders>
              <w:top w:val="nil"/>
              <w:left w:val="single" w:sz="4" w:space="0" w:color="auto"/>
              <w:bottom w:val="single" w:sz="4" w:space="0" w:color="auto"/>
              <w:right w:val="single" w:sz="4" w:space="0" w:color="auto"/>
            </w:tcBorders>
            <w:shd w:val="clear" w:color="FFFFFF" w:fill="FFFFFF"/>
            <w:noWrap/>
            <w:vAlign w:val="center"/>
            <w:hideMark/>
          </w:tcPr>
          <w:p w14:paraId="75E57430" w14:textId="77777777" w:rsidR="00A36C15" w:rsidRDefault="00A36C15">
            <w:pPr>
              <w:jc w:val="right"/>
              <w:rPr>
                <w:rFonts w:ascii="Oracle Sans" w:hAnsi="Oracle Sans" w:cs="Calibri"/>
                <w:sz w:val="15"/>
                <w:szCs w:val="15"/>
              </w:rPr>
            </w:pPr>
            <w:r>
              <w:rPr>
                <w:rFonts w:ascii="Oracle Sans" w:hAnsi="Oracle Sans" w:cs="Calibri"/>
                <w:sz w:val="15"/>
                <w:szCs w:val="15"/>
              </w:rPr>
              <w:t>2.315,17</w:t>
            </w:r>
          </w:p>
        </w:tc>
        <w:tc>
          <w:tcPr>
            <w:tcW w:w="1300" w:type="dxa"/>
            <w:tcBorders>
              <w:top w:val="nil"/>
              <w:left w:val="nil"/>
              <w:bottom w:val="single" w:sz="4" w:space="0" w:color="auto"/>
              <w:right w:val="single" w:sz="4" w:space="0" w:color="auto"/>
            </w:tcBorders>
            <w:shd w:val="clear" w:color="FFFFFF" w:fill="FFFFFF"/>
            <w:noWrap/>
            <w:vAlign w:val="center"/>
            <w:hideMark/>
          </w:tcPr>
          <w:p w14:paraId="7EA75C15" w14:textId="77777777" w:rsidR="00A36C15" w:rsidRDefault="00A36C15">
            <w:pPr>
              <w:jc w:val="right"/>
              <w:rPr>
                <w:rFonts w:ascii="Oracle Sans" w:hAnsi="Oracle Sans" w:cs="Calibri"/>
                <w:sz w:val="15"/>
                <w:szCs w:val="15"/>
              </w:rPr>
            </w:pPr>
            <w:r>
              <w:rPr>
                <w:rFonts w:ascii="Oracle Sans" w:hAnsi="Oracle Sans" w:cs="Calibri"/>
                <w:sz w:val="15"/>
                <w:szCs w:val="15"/>
              </w:rPr>
              <w:t>849,66</w:t>
            </w:r>
          </w:p>
        </w:tc>
        <w:tc>
          <w:tcPr>
            <w:tcW w:w="1300" w:type="dxa"/>
            <w:tcBorders>
              <w:top w:val="nil"/>
              <w:left w:val="nil"/>
              <w:bottom w:val="single" w:sz="4" w:space="0" w:color="161513"/>
              <w:right w:val="single" w:sz="4" w:space="0" w:color="161513"/>
            </w:tcBorders>
            <w:shd w:val="clear" w:color="FFFFFF" w:fill="FFFFFF"/>
            <w:noWrap/>
            <w:vAlign w:val="center"/>
            <w:hideMark/>
          </w:tcPr>
          <w:p w14:paraId="75847B33" w14:textId="77777777" w:rsidR="00A36C15" w:rsidRDefault="00A36C15">
            <w:pPr>
              <w:jc w:val="right"/>
              <w:rPr>
                <w:rFonts w:ascii="Oracle Sans" w:hAnsi="Oracle Sans" w:cs="Calibri"/>
                <w:sz w:val="15"/>
                <w:szCs w:val="15"/>
              </w:rPr>
            </w:pPr>
            <w:r>
              <w:rPr>
                <w:rFonts w:ascii="Oracle Sans" w:hAnsi="Oracle Sans" w:cs="Calibri"/>
                <w:sz w:val="15"/>
                <w:szCs w:val="15"/>
              </w:rPr>
              <w:t>-1.465,51</w:t>
            </w:r>
          </w:p>
        </w:tc>
      </w:tr>
      <w:tr w:rsidR="00A36C15" w14:paraId="7BC411E0" w14:textId="77777777" w:rsidTr="00A36C15">
        <w:trPr>
          <w:trHeight w:val="300"/>
        </w:trPr>
        <w:tc>
          <w:tcPr>
            <w:tcW w:w="4228" w:type="dxa"/>
            <w:tcBorders>
              <w:top w:val="nil"/>
              <w:left w:val="nil"/>
              <w:bottom w:val="single" w:sz="4" w:space="0" w:color="161513"/>
              <w:right w:val="nil"/>
            </w:tcBorders>
            <w:shd w:val="clear" w:color="4D4F5B" w:fill="44546A"/>
            <w:noWrap/>
            <w:vAlign w:val="center"/>
            <w:hideMark/>
          </w:tcPr>
          <w:p w14:paraId="5A724313" w14:textId="77777777" w:rsidR="00A36C15" w:rsidRDefault="00A36C15">
            <w:pPr>
              <w:rPr>
                <w:rFonts w:ascii="Oracle Sans" w:hAnsi="Oracle Sans" w:cs="Calibri"/>
                <w:color w:val="FFFFFF"/>
                <w:sz w:val="17"/>
                <w:szCs w:val="17"/>
              </w:rPr>
            </w:pPr>
            <w:r>
              <w:rPr>
                <w:rFonts w:ascii="Oracle Sans" w:hAnsi="Oracle Sans" w:cs="Calibri"/>
                <w:color w:val="FFFFFF"/>
                <w:sz w:val="17"/>
                <w:szCs w:val="17"/>
              </w:rPr>
              <w:t>                      3.5 Activos de reserva</w:t>
            </w:r>
          </w:p>
        </w:tc>
        <w:tc>
          <w:tcPr>
            <w:tcW w:w="1300" w:type="dxa"/>
            <w:tcBorders>
              <w:top w:val="nil"/>
              <w:left w:val="single" w:sz="4" w:space="0" w:color="auto"/>
              <w:bottom w:val="single" w:sz="4" w:space="0" w:color="auto"/>
              <w:right w:val="single" w:sz="4" w:space="0" w:color="auto"/>
            </w:tcBorders>
            <w:shd w:val="clear" w:color="FFFFFF" w:fill="FFFFFF"/>
            <w:noWrap/>
            <w:vAlign w:val="center"/>
            <w:hideMark/>
          </w:tcPr>
          <w:p w14:paraId="6C84295C" w14:textId="77777777" w:rsidR="00A36C15" w:rsidRDefault="00A36C15">
            <w:pPr>
              <w:jc w:val="right"/>
              <w:rPr>
                <w:rFonts w:ascii="Oracle Sans" w:hAnsi="Oracle Sans" w:cs="Calibri"/>
                <w:sz w:val="15"/>
                <w:szCs w:val="15"/>
              </w:rPr>
            </w:pPr>
            <w:r>
              <w:rPr>
                <w:rFonts w:ascii="Oracle Sans" w:hAnsi="Oracle Sans" w:cs="Calibri"/>
                <w:sz w:val="15"/>
                <w:szCs w:val="15"/>
              </w:rPr>
              <w:t>3.593,31</w:t>
            </w:r>
          </w:p>
        </w:tc>
        <w:tc>
          <w:tcPr>
            <w:tcW w:w="1300" w:type="dxa"/>
            <w:tcBorders>
              <w:top w:val="nil"/>
              <w:left w:val="nil"/>
              <w:bottom w:val="single" w:sz="4" w:space="0" w:color="auto"/>
              <w:right w:val="single" w:sz="4" w:space="0" w:color="auto"/>
            </w:tcBorders>
            <w:shd w:val="clear" w:color="FFFFFF" w:fill="FFFFFF"/>
            <w:noWrap/>
            <w:vAlign w:val="center"/>
            <w:hideMark/>
          </w:tcPr>
          <w:p w14:paraId="2533991F" w14:textId="77777777" w:rsidR="00A36C15" w:rsidRDefault="00A36C15">
            <w:pPr>
              <w:jc w:val="right"/>
              <w:rPr>
                <w:rFonts w:ascii="Oracle Sans" w:hAnsi="Oracle Sans" w:cs="Calibri"/>
                <w:sz w:val="15"/>
                <w:szCs w:val="15"/>
              </w:rPr>
            </w:pPr>
            <w:r>
              <w:rPr>
                <w:rFonts w:ascii="Oracle Sans" w:hAnsi="Oracle Sans" w:cs="Calibri"/>
                <w:sz w:val="15"/>
                <w:szCs w:val="15"/>
              </w:rPr>
              <w:t>2.165,24</w:t>
            </w:r>
          </w:p>
        </w:tc>
        <w:tc>
          <w:tcPr>
            <w:tcW w:w="1300" w:type="dxa"/>
            <w:tcBorders>
              <w:top w:val="nil"/>
              <w:left w:val="nil"/>
              <w:bottom w:val="single" w:sz="4" w:space="0" w:color="161513"/>
              <w:right w:val="single" w:sz="4" w:space="0" w:color="161513"/>
            </w:tcBorders>
            <w:shd w:val="clear" w:color="FFFFFF" w:fill="FFFFFF"/>
            <w:noWrap/>
            <w:vAlign w:val="center"/>
            <w:hideMark/>
          </w:tcPr>
          <w:p w14:paraId="478606EA" w14:textId="77777777" w:rsidR="00A36C15" w:rsidRDefault="00A36C15">
            <w:pPr>
              <w:jc w:val="right"/>
              <w:rPr>
                <w:rFonts w:ascii="Oracle Sans" w:hAnsi="Oracle Sans" w:cs="Calibri"/>
                <w:sz w:val="15"/>
                <w:szCs w:val="15"/>
              </w:rPr>
            </w:pPr>
            <w:r>
              <w:rPr>
                <w:rFonts w:ascii="Oracle Sans" w:hAnsi="Oracle Sans" w:cs="Calibri"/>
                <w:sz w:val="15"/>
                <w:szCs w:val="15"/>
              </w:rPr>
              <w:t>-1.428,07</w:t>
            </w:r>
          </w:p>
        </w:tc>
      </w:tr>
      <w:tr w:rsidR="00A36C15" w14:paraId="26CA5F45" w14:textId="77777777" w:rsidTr="00A36C15">
        <w:trPr>
          <w:trHeight w:val="300"/>
        </w:trPr>
        <w:tc>
          <w:tcPr>
            <w:tcW w:w="4228" w:type="dxa"/>
            <w:tcBorders>
              <w:top w:val="nil"/>
              <w:left w:val="nil"/>
              <w:bottom w:val="single" w:sz="4" w:space="0" w:color="161513"/>
              <w:right w:val="nil"/>
            </w:tcBorders>
            <w:shd w:val="clear" w:color="4D4F5B" w:fill="44546A"/>
            <w:noWrap/>
            <w:vAlign w:val="center"/>
            <w:hideMark/>
          </w:tcPr>
          <w:p w14:paraId="2BEEBA88" w14:textId="77777777" w:rsidR="00A36C15" w:rsidRDefault="00A36C15">
            <w:pPr>
              <w:rPr>
                <w:rFonts w:ascii="Oracle Sans" w:hAnsi="Oracle Sans" w:cs="Calibri"/>
                <w:color w:val="FFFFFF"/>
                <w:sz w:val="17"/>
                <w:szCs w:val="17"/>
              </w:rPr>
            </w:pPr>
            <w:r>
              <w:rPr>
                <w:rFonts w:ascii="Oracle Sans" w:hAnsi="Oracle Sans" w:cs="Calibri"/>
                <w:color w:val="FFFFFF"/>
                <w:sz w:val="17"/>
                <w:szCs w:val="17"/>
              </w:rPr>
              <w:lastRenderedPageBreak/>
              <w:t xml:space="preserve">        Errores y omisiones</w:t>
            </w:r>
          </w:p>
        </w:tc>
        <w:tc>
          <w:tcPr>
            <w:tcW w:w="1300" w:type="dxa"/>
            <w:tcBorders>
              <w:top w:val="nil"/>
              <w:left w:val="single" w:sz="4" w:space="0" w:color="auto"/>
              <w:bottom w:val="single" w:sz="4" w:space="0" w:color="auto"/>
              <w:right w:val="single" w:sz="4" w:space="0" w:color="auto"/>
            </w:tcBorders>
            <w:shd w:val="clear" w:color="FFFFFF" w:fill="FFFFFF"/>
            <w:noWrap/>
            <w:vAlign w:val="center"/>
            <w:hideMark/>
          </w:tcPr>
          <w:p w14:paraId="0076CC80" w14:textId="77777777" w:rsidR="00A36C15" w:rsidRDefault="00A36C15">
            <w:pPr>
              <w:jc w:val="right"/>
              <w:rPr>
                <w:rFonts w:ascii="Oracle Sans" w:hAnsi="Oracle Sans" w:cs="Calibri"/>
                <w:sz w:val="15"/>
                <w:szCs w:val="15"/>
              </w:rPr>
            </w:pPr>
            <w:r>
              <w:rPr>
                <w:rFonts w:ascii="Oracle Sans" w:hAnsi="Oracle Sans" w:cs="Calibri"/>
                <w:sz w:val="15"/>
                <w:szCs w:val="15"/>
              </w:rPr>
              <w:t>1.435,05</w:t>
            </w:r>
          </w:p>
        </w:tc>
        <w:tc>
          <w:tcPr>
            <w:tcW w:w="1300" w:type="dxa"/>
            <w:tcBorders>
              <w:top w:val="nil"/>
              <w:left w:val="nil"/>
              <w:bottom w:val="single" w:sz="4" w:space="0" w:color="auto"/>
              <w:right w:val="single" w:sz="4" w:space="0" w:color="auto"/>
            </w:tcBorders>
            <w:shd w:val="clear" w:color="FFFFFF" w:fill="FFFFFF"/>
            <w:noWrap/>
            <w:vAlign w:val="center"/>
            <w:hideMark/>
          </w:tcPr>
          <w:p w14:paraId="688FFCDA" w14:textId="77777777" w:rsidR="00A36C15" w:rsidRDefault="00A36C15">
            <w:pPr>
              <w:jc w:val="right"/>
              <w:rPr>
                <w:rFonts w:ascii="Oracle Sans" w:hAnsi="Oracle Sans" w:cs="Calibri"/>
                <w:sz w:val="15"/>
                <w:szCs w:val="15"/>
              </w:rPr>
            </w:pPr>
            <w:r>
              <w:rPr>
                <w:rFonts w:ascii="Oracle Sans" w:hAnsi="Oracle Sans" w:cs="Calibri"/>
                <w:sz w:val="15"/>
                <w:szCs w:val="15"/>
              </w:rPr>
              <w:t>1.835,48</w:t>
            </w:r>
          </w:p>
        </w:tc>
        <w:tc>
          <w:tcPr>
            <w:tcW w:w="1300" w:type="dxa"/>
            <w:tcBorders>
              <w:top w:val="nil"/>
              <w:left w:val="nil"/>
              <w:bottom w:val="single" w:sz="4" w:space="0" w:color="161513"/>
              <w:right w:val="single" w:sz="4" w:space="0" w:color="161513"/>
            </w:tcBorders>
            <w:shd w:val="clear" w:color="FFFFFF" w:fill="FFFFFF"/>
            <w:noWrap/>
            <w:vAlign w:val="center"/>
            <w:hideMark/>
          </w:tcPr>
          <w:p w14:paraId="76E4136E" w14:textId="77777777" w:rsidR="00A36C15" w:rsidRDefault="00A36C15">
            <w:pPr>
              <w:jc w:val="right"/>
              <w:rPr>
                <w:rFonts w:ascii="Oracle Sans" w:hAnsi="Oracle Sans" w:cs="Calibri"/>
                <w:sz w:val="15"/>
                <w:szCs w:val="15"/>
              </w:rPr>
            </w:pPr>
            <w:r>
              <w:rPr>
                <w:rFonts w:ascii="Oracle Sans" w:hAnsi="Oracle Sans" w:cs="Calibri"/>
                <w:sz w:val="15"/>
                <w:szCs w:val="15"/>
              </w:rPr>
              <w:t>400,43</w:t>
            </w:r>
          </w:p>
        </w:tc>
      </w:tr>
    </w:tbl>
    <w:p w14:paraId="314C9E5A" w14:textId="77777777" w:rsidR="00A36C15" w:rsidRPr="00B33D70" w:rsidRDefault="00A36C15" w:rsidP="00B33D70">
      <w:pPr>
        <w:pStyle w:val="NormalWeb"/>
        <w:spacing w:before="240" w:beforeAutospacing="0" w:after="240" w:afterAutospacing="0" w:line="276" w:lineRule="auto"/>
        <w:rPr>
          <w:rFonts w:ascii="Arial" w:hAnsi="Arial" w:cs="Arial"/>
          <w:sz w:val="22"/>
          <w:szCs w:val="22"/>
          <w:lang w:val="es-ES"/>
        </w:rPr>
      </w:pPr>
    </w:p>
    <w:p w14:paraId="58709321" w14:textId="1CE04950" w:rsidR="00177D39" w:rsidRPr="00177D39" w:rsidRDefault="00923BDC" w:rsidP="00B33D70">
      <w:pPr>
        <w:spacing w:before="240" w:line="276" w:lineRule="auto"/>
        <w:ind w:right="1912"/>
        <w:jc w:val="both"/>
        <w:rPr>
          <w:rFonts w:ascii="Arial" w:hAnsi="Arial" w:cs="Arial"/>
          <w:color w:val="000000"/>
          <w:lang w:val="es-ES"/>
        </w:rPr>
      </w:pPr>
      <w:r>
        <w:rPr>
          <w:rFonts w:ascii="Arial" w:hAnsi="Arial" w:cs="Arial"/>
          <w:b/>
          <w:bCs/>
          <w:color w:val="000000"/>
          <w:lang w:val="es-ES"/>
        </w:rPr>
        <w:t>Fuente</w:t>
      </w:r>
      <w:r>
        <w:rPr>
          <w:rFonts w:ascii="Arial" w:hAnsi="Arial" w:cs="Arial"/>
          <w:color w:val="000000"/>
          <w:lang w:val="es-ES"/>
        </w:rPr>
        <w:t>: Banco de la República Balanza de Pagos (XXXX).</w:t>
      </w:r>
    </w:p>
    <w:p w14:paraId="11EB309D" w14:textId="2639F422" w:rsidR="0096081C" w:rsidRDefault="0096081C" w:rsidP="00177D39">
      <w:pPr>
        <w:pStyle w:val="NormalWeb"/>
        <w:spacing w:before="240" w:beforeAutospacing="0" w:after="240" w:afterAutospacing="0" w:line="276" w:lineRule="auto"/>
        <w:jc w:val="both"/>
        <w:rPr>
          <w:rFonts w:ascii="Arial" w:hAnsi="Arial" w:cs="Arial"/>
          <w:color w:val="000000"/>
          <w:sz w:val="22"/>
          <w:szCs w:val="22"/>
        </w:rPr>
      </w:pPr>
      <w:r>
        <w:rPr>
          <w:rFonts w:ascii="Arial" w:hAnsi="Arial" w:cs="Arial"/>
          <w:color w:val="000000"/>
          <w:sz w:val="22"/>
          <w:szCs w:val="22"/>
        </w:rPr>
        <w:t>El análisis semestral evidencia la fortaleza de la inversión directa, que se consolida como la principal fuente de financiamiento externo, a diferencia del análisis trimestral, en el que predominan la otra inversión y la inversión de cartera por separado. En términos absolutos, los ingresos de capital por IED alcanzaron US$ 6.479,95 m en el primer semestre de 2024 y US$ 6.578,88 m en el mismo periodo de 2025, reflejando su estabilidad y relevancia dentro de los flujos financieros hacia el país. Frente al periodo anterior, la IED presentó un aumento neto de US$ 98,93 m, aunque se observaron disminuciones por US$ 1.235,25 m en participaciones de capital distintas de la reinversión de utilidades. Por su parte, los instrumentos de deuda contribuyeron con ingresos por US$ 1.225,30 m, correspondientes a los derechos de las empresas de inversión directa sobre los inversionistas directos (inversión en sentido contrario). Siendo lo anterior el reflejo de la confianza de los inversionistas en la economía colombiana al favorecer inversiones de largo plazo frente a flujos más volátiles.</w:t>
      </w:r>
    </w:p>
    <w:p w14:paraId="5CDB8B4D" w14:textId="0EF837D3" w:rsidR="0096081C" w:rsidRDefault="0096081C" w:rsidP="00177D39">
      <w:pPr>
        <w:pStyle w:val="NormalWeb"/>
        <w:spacing w:before="240" w:beforeAutospacing="0" w:after="240" w:afterAutospacing="0" w:line="276" w:lineRule="auto"/>
        <w:jc w:val="both"/>
        <w:rPr>
          <w:rFonts w:ascii="Arial" w:hAnsi="Arial" w:cs="Arial"/>
          <w:color w:val="000000"/>
          <w:sz w:val="22"/>
          <w:szCs w:val="22"/>
        </w:rPr>
      </w:pPr>
      <w:r>
        <w:rPr>
          <w:rFonts w:ascii="Arial" w:hAnsi="Arial" w:cs="Arial"/>
          <w:color w:val="000000"/>
          <w:sz w:val="22"/>
          <w:szCs w:val="22"/>
        </w:rPr>
        <w:t>Por otro lado, hubo salidas por inversión de colombianos en el extranjero de US$ 2.293,53 m en el primer semestre de 2024 y US$ 2.270,62 m en el mismo periodo de 2025. Estos flujos estuvieron impulsados principalmente por instrumentos de deuda, que, aunque representan una participación menor (aproximadamente 2%), aportaron US$ 164,01 m respecto al semestre anterior pasando de US$ 297,37 m a US$ 461,38 m en el semestre siguiente. Por su parte, la participación de capital y fondos de inversión continuó liderando el total, con aproximadamente un 80% de la IED en ambos periodos, aunque presentó una ligera disminución de US$ 186,91 m frente al semestre previo. Cabe destacar que pese a la salida de capitales colombianos, la mayor proporción de inversión sigue concentrada en participaciones de largo plazo, indicando una estrategia de diversificación.</w:t>
      </w:r>
    </w:p>
    <w:p w14:paraId="6D7BFE4F" w14:textId="03DB4B35" w:rsidR="0096081C" w:rsidRDefault="0096081C" w:rsidP="00177D39">
      <w:pPr>
        <w:pStyle w:val="NormalWeb"/>
        <w:spacing w:before="240" w:beforeAutospacing="0" w:after="240" w:afterAutospacing="0" w:line="276" w:lineRule="auto"/>
        <w:jc w:val="both"/>
        <w:rPr>
          <w:rFonts w:ascii="Arial" w:hAnsi="Arial" w:cs="Arial"/>
          <w:color w:val="000000"/>
          <w:sz w:val="22"/>
          <w:szCs w:val="22"/>
        </w:rPr>
      </w:pPr>
      <w:r>
        <w:rPr>
          <w:rFonts w:ascii="Arial" w:hAnsi="Arial" w:cs="Arial"/>
          <w:color w:val="000000"/>
          <w:sz w:val="22"/>
          <w:szCs w:val="22"/>
        </w:rPr>
        <w:t>La inversión de cartera neta registró un aumento significativo frente al periodo anterior, por US$ 1.888,75 m (mayor financiamiento externo). Las entradas de capital se concentraron principalmente en títulos de deuda del gobierno, con US$ 3.751,64 m en instrumentos de corto plazo y US$ 2.808,20 m en títulos de largo plazo. Por su parte, las salidas de capital se explicaron principalmente por títulos de largo plazo no gubernamentales (US$ 2.239,65 m) y por inversiones de sociedades no financieras, hogares e ISFLSH (US$ 2.153,19 m).  Además, los flujos financieros de derivados contribuyeron con US$ 375,70 m, siendo las sociedades captadoras de depósitos las principales beneficiadas, con entradas por US$ 165,90 m. Se percibe, por tanto, la confianza de los inversionistas hacia los instrumentos de deuda del gobierno. De igual forma, los flujos de derivados siguen jugando un rol relevante como mecanismo de cobertura y gestión de riesgos dentro del sistema financiero colombiano.</w:t>
      </w:r>
    </w:p>
    <w:p w14:paraId="01061DE0" w14:textId="77777777" w:rsidR="00E00F7D" w:rsidRDefault="00E00F7D" w:rsidP="00177D39">
      <w:pPr>
        <w:pStyle w:val="NormalWeb"/>
        <w:spacing w:before="240" w:beforeAutospacing="0" w:after="240" w:afterAutospacing="0" w:line="276" w:lineRule="auto"/>
        <w:jc w:val="both"/>
        <w:rPr>
          <w:rFonts w:ascii="Arial" w:hAnsi="Arial" w:cs="Arial"/>
          <w:color w:val="000000"/>
          <w:sz w:val="22"/>
          <w:szCs w:val="22"/>
        </w:rPr>
      </w:pPr>
      <w:r>
        <w:rPr>
          <w:rFonts w:ascii="Arial" w:hAnsi="Arial" w:cs="Arial"/>
          <w:color w:val="000000"/>
          <w:sz w:val="22"/>
          <w:szCs w:val="22"/>
        </w:rPr>
        <w:t xml:space="preserve">Otra inversión registró una salida neta de capitales de US$ 2.322,86 m en términos intersemestrales. Durante el primer semestre de 2025, los activos financieros disminuyeron en US$ 1.129,58 m, principalmente en moneda y depósitos, reflejando transferencias de capital al </w:t>
        <w:lastRenderedPageBreak/>
        <w:t>exterior o una reducción de la inversión de Colombia en el extranjero. Al mismo tiempo, los pasivos netos del país frente al exterior se redujeron en US$ 2.504,02 m, impulsados por préstamos y financiamiento recibido de sociedades captadoras de depósitos y del gobierno general. En conjunto, estos flujos muestran que la otra inversión funciona como un mecanismo de ajuste entre entradas y salidas de capital, contribuyendo a la estabilidad de la cuenta financiera del país.</w:t>
      </w:r>
    </w:p>
    <w:p w14:paraId="2969F499" w14:textId="7BC84B4E" w:rsidR="00F27BED" w:rsidRDefault="0096081C" w:rsidP="00177D39">
      <w:pPr>
        <w:pStyle w:val="NormalWeb"/>
        <w:spacing w:before="240" w:beforeAutospacing="0" w:after="240" w:afterAutospacing="0" w:line="276" w:lineRule="auto"/>
        <w:jc w:val="both"/>
        <w:rPr>
          <w:rFonts w:ascii="Arial" w:hAnsi="Arial" w:cs="Arial"/>
          <w:color w:val="000000"/>
          <w:sz w:val="22"/>
          <w:szCs w:val="22"/>
        </w:rPr>
      </w:pPr>
      <w:r>
        <w:rPr>
          <w:rFonts w:ascii="Arial" w:hAnsi="Arial" w:cs="Arial"/>
          <w:color w:val="000000"/>
          <w:sz w:val="22"/>
          <w:szCs w:val="22"/>
        </w:rPr>
        <w:t>Los activos de reserva del país alcanzaron 1.865,83 millones en el último periodo, frente a 1.088,16 millones del anterior, lo que representa un cambio de -777,67 millones. Esto muestra que las reservas aumentaron, reflejando una entrada neta de divisas significativa. La variación se debió principalmente a la acumulación de oro y la compra de dólares por parte del Banco Central, lo que fortaleció la posición internacional de Colombia y aseguró una estabilidad macroeconómica. Los errores y omisiones registraron US$ 581,53 m en el primer semestre de 2024 y US$ 1.147,45 m en el mismo periodo de 2025, mostrando un aumento intersemestral de US$ 565,92 m.</w:t>
      </w:r>
    </w:p>
    <w:p w14:paraId="7A125063" w14:textId="77777777" w:rsidR="0096081C" w:rsidRDefault="0096081C" w:rsidP="0096081C">
      <w:pPr>
        <w:spacing w:line="276" w:lineRule="auto"/>
        <w:rPr>
          <w:rFonts w:ascii="Arial" w:hAnsi="Arial" w:cs="Arial"/>
          <w:color w:val="000000"/>
          <w:sz w:val="22"/>
          <w:szCs w:val="22"/>
        </w:rPr>
      </w:pPr>
    </w:p>
    <w:p w14:paraId="06CD2080" w14:textId="1CB99F87" w:rsidR="003F0C7E" w:rsidRPr="00B33D70" w:rsidRDefault="003F0C7E" w:rsidP="003F0C7E">
      <w:pPr>
        <w:spacing w:line="276" w:lineRule="auto"/>
        <w:rPr>
          <w:rFonts w:ascii="Arial" w:hAnsi="Arial" w:cs="Arial"/>
          <w:b/>
          <w:bCs/>
          <w:color w:val="000000"/>
          <w:lang w:val="es-ES"/>
        </w:rPr>
      </w:pPr>
      <w:r>
        <w:rPr>
          <w:rFonts w:ascii="Arial" w:hAnsi="Arial" w:cs="Arial"/>
          <w:b/>
          <w:bCs/>
          <w:color w:val="000000"/>
          <w:lang w:val="es-ES"/>
        </w:rPr>
        <w:t>Gráfico 4. Evolución de la Inversión Extranjera Directa en sectores estratégicos</w:t>
      </w:r>
    </w:p>
    <w:p w14:paraId="0EA3919F" w14:textId="77777777" w:rsidR="00923BDC" w:rsidRPr="00B33D70" w:rsidRDefault="00923BDC" w:rsidP="007E2BAD">
      <w:pPr>
        <w:jc w:val="both"/>
        <w:rPr>
          <w:rFonts w:ascii="Arial" w:hAnsi="Arial" w:cs="Arial"/>
          <w:b/>
          <w:bCs/>
          <w:lang w:val="es-ES"/>
        </w:rPr>
      </w:pPr>
    </w:p>
    <w:p w14:paraId="1FDE39FA" w14:textId="4CED2833" w:rsidR="0096081C" w:rsidRDefault="004B7570">
      <w:pPr>
        <w:spacing w:after="160" w:line="259" w:lineRule="auto"/>
        <w:rPr>
          <w:rFonts w:ascii="Arial" w:hAnsi="Arial" w:cs="Arial"/>
          <w:b/>
          <w:bCs/>
          <w:lang w:val="es-ES"/>
        </w:rPr>
      </w:pPr>
      <w:r>
        <w:rPr>
          <w:noProof/>
          <w14:ligatures w14:val="standardContextual"/>
        </w:rPr>
        <w:drawing>
          <wp:inline distT="0" distB="0" distL="0" distR="0" wp14:anchorId="412BFC07" wp14:editId="4F7067AB">
            <wp:extent cx="5352643" cy="2923528"/>
            <wp:effectExtent l="0" t="0" r="6985" b="10795"/>
            <wp:docPr id="808471301" name="Gráfico 1">
              <a:extLst xmlns:a="http://schemas.openxmlformats.org/drawingml/2006/main">
                <a:ext uri="{FF2B5EF4-FFF2-40B4-BE49-F238E27FC236}">
                  <a16:creationId xmlns:a16="http://schemas.microsoft.com/office/drawing/2014/main" id="{9B7ADAF5-434F-0BD0-F72D-E352D74FC33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0FD1AB25" w14:textId="77777777" w:rsidR="0096081C" w:rsidRDefault="0096081C" w:rsidP="0096081C">
      <w:pPr>
        <w:spacing w:line="276" w:lineRule="auto"/>
        <w:rPr>
          <w:rFonts w:ascii="Arial" w:hAnsi="Arial" w:cs="Arial"/>
          <w:color w:val="000000"/>
          <w:lang w:val="es-ES"/>
        </w:rPr>
      </w:pPr>
      <w:r>
        <w:rPr>
          <w:rFonts w:ascii="Arial" w:hAnsi="Arial" w:cs="Arial"/>
          <w:b/>
          <w:bCs/>
          <w:color w:val="000000"/>
          <w:lang w:val="es-ES"/>
        </w:rPr>
        <w:t>Fuente:</w:t>
      </w:r>
      <w:r>
        <w:rPr>
          <w:rFonts w:ascii="Arial" w:hAnsi="Arial" w:cs="Arial"/>
          <w:color w:val="000000"/>
          <w:lang w:val="es-ES"/>
        </w:rPr>
        <w:t xml:space="preserve"> Elaboración propia con datos del Banco de la República (XXXX).</w:t>
      </w:r>
    </w:p>
    <w:p w14:paraId="7B241F0A" w14:textId="104A5CAA" w:rsidR="00836D4E" w:rsidRDefault="00836D4E">
      <w:pPr>
        <w:spacing w:after="160" w:line="259" w:lineRule="auto"/>
        <w:rPr>
          <w:rFonts w:ascii="Arial" w:hAnsi="Arial" w:cs="Arial"/>
          <w:b/>
          <w:bCs/>
          <w:lang w:val="es-ES"/>
        </w:rPr>
      </w:pPr>
    </w:p>
    <w:p w14:paraId="469D8E10" w14:textId="77777777" w:rsidR="0096081C" w:rsidRDefault="0096081C" w:rsidP="0096081C">
      <w:pPr>
        <w:spacing w:after="160" w:line="259" w:lineRule="auto"/>
        <w:rPr>
          <w:rFonts w:ascii="Arial" w:hAnsi="Arial" w:cs="Arial"/>
          <w:color w:val="000000"/>
          <w:sz w:val="22"/>
          <w:szCs w:val="22"/>
        </w:rPr>
      </w:pPr>
      <w:r>
        <w:rPr>
          <w:rFonts w:ascii="Arial" w:hAnsi="Arial" w:cs="Arial"/>
          <w:color w:val="000000"/>
          <w:sz w:val="22"/>
          <w:szCs w:val="22"/>
        </w:rPr>
        <w:t xml:space="preserve">La inversión extranjera directa (IED) sigue siendo un pilar fundamental del financiamiento externo del país y un reflejo de la confianza de los inversionistas en el entorno económico colombiano. En el primer semestre de 2025, concentró alrededor del 58% de las entradas netas de capital en la cuenta financiera (Tabla 2), reflejando su papel como fuente de financiamiento asociada a relaciones de largo plazo, estabilidad macroeconómica y desarrollo de sectores estratégicos. Este contrasta con otros flujos más volátiles, como la inversión de cartera u otra inversión. </w:t>
      </w:r>
    </w:p>
    <w:p w14:paraId="255FC3E5" w14:textId="77777777" w:rsidR="0096081C" w:rsidRDefault="0096081C" w:rsidP="0096081C">
      <w:pPr>
        <w:spacing w:after="160" w:line="259" w:lineRule="auto"/>
        <w:rPr>
          <w:rFonts w:ascii="Arial" w:hAnsi="Arial" w:cs="Arial"/>
          <w:color w:val="000000"/>
          <w:sz w:val="22"/>
          <w:szCs w:val="22"/>
        </w:rPr>
      </w:pPr>
      <w:r>
        <w:rPr>
          <w:rFonts w:ascii="Arial" w:hAnsi="Arial" w:cs="Arial"/>
          <w:color w:val="000000"/>
          <w:sz w:val="22"/>
          <w:szCs w:val="22"/>
        </w:rPr>
        <w:lastRenderedPageBreak/>
        <w:t>A comienzos de 2021, la IED presentaba una composición más diversificada, con una alta participación de la inversión en otros sectores, que llegó a concentrar cerca de la mitad del total. Desde entonces, esta tendencia se ha revertido, dando paso a una mayor concentración en sectores estratégicos. Entre ellos, el sector de servicios financieros y empresariales ha ganado protagonismo, destacándose por su mayor estabilidad frente a actividades tradicionalmente más volátiles, como la explotación de minas y canteras. Este sector alcanzó participaciones cercanas a la mitad del total de la IED durante el primer semestre de 2022 y nuevamente en el cuarto trimestre de 2024. Sin embargo, la industria manufacturera también ha registrado una participación relevante, aunque con un comportamiento más irregular a lo largo del periodo. Por su parte, pese a la disminución de la inversión extranjera en minería y energías fósiles, el sector petrolero logró recuperarse y mantener una participación relativamente estable dentro del total de flujos de IED.</w:t>
      </w:r>
    </w:p>
    <w:p w14:paraId="730804D9" w14:textId="65EAF7FD" w:rsidR="0096081C" w:rsidRDefault="0096081C" w:rsidP="0096081C">
      <w:pPr>
        <w:spacing w:after="160" w:line="259" w:lineRule="auto"/>
        <w:rPr>
          <w:rFonts w:ascii="Arial" w:hAnsi="Arial" w:cs="Arial"/>
          <w:b/>
          <w:bCs/>
          <w:lang w:val="es-ES"/>
        </w:rPr>
      </w:pPr>
      <w:r>
        <w:rPr>
          <w:rFonts w:ascii="Arial" w:hAnsi="Arial" w:cs="Arial"/>
          <w:color w:val="000000"/>
          <w:sz w:val="22"/>
          <w:szCs w:val="22"/>
        </w:rPr>
        <w:t>A cierre del segundo trimestre de 2025, la recomposición sectorial de la IED muestra un mayor protagonismo del sector de servicios financieros, que concentró el 28,1% del total. Le siguieron el sector petrolero y la industria manufacturera, con participaciones del 21,8% y 21,2%, respectivamente. Asimismo, la inversión en comercio, hotelería y restaurantes representó el 11,7%, mientras que la explotación de minas y canteras registró la menor participación, con apenas 2,4% del total de la IED.</w:t>
      </w:r>
    </w:p>
    <w:p w14:paraId="45576815" w14:textId="77777777" w:rsidR="0096081C" w:rsidRDefault="0096081C">
      <w:pPr>
        <w:rPr>
          <w:rFonts w:ascii="Arial" w:hAnsi="Arial" w:cs="Arial"/>
          <w:b/>
          <w:bCs/>
          <w:lang w:val="es-ES"/>
        </w:rPr>
      </w:pPr>
    </w:p>
    <w:p w14:paraId="615396B6" w14:textId="77777777" w:rsidR="0096081C" w:rsidRDefault="0096081C">
      <w:pPr>
        <w:rPr>
          <w:rFonts w:ascii="Arial" w:hAnsi="Arial" w:cs="Arial"/>
          <w:b/>
          <w:bCs/>
          <w:lang w:val="es-ES"/>
        </w:rPr>
      </w:pPr>
    </w:p>
    <w:p w14:paraId="7BC2A360" w14:textId="77777777" w:rsidR="0096081C" w:rsidRDefault="0096081C">
      <w:pPr>
        <w:rPr>
          <w:rFonts w:ascii="Arial" w:hAnsi="Arial" w:cs="Arial"/>
          <w:b/>
          <w:bCs/>
          <w:lang w:val="es-ES"/>
        </w:rPr>
      </w:pPr>
    </w:p>
    <w:p w14:paraId="7D2BE20C" w14:textId="77777777" w:rsidR="0096081C" w:rsidRDefault="0096081C">
      <w:pPr>
        <w:rPr>
          <w:rFonts w:ascii="Arial" w:hAnsi="Arial" w:cs="Arial"/>
          <w:b/>
          <w:bCs/>
          <w:lang w:val="es-ES"/>
        </w:rPr>
      </w:pPr>
    </w:p>
    <w:p w14:paraId="6CD3F729" w14:textId="77777777" w:rsidR="0096081C" w:rsidRDefault="0096081C">
      <w:pPr>
        <w:rPr>
          <w:rFonts w:ascii="Arial" w:hAnsi="Arial" w:cs="Arial"/>
          <w:b/>
          <w:bCs/>
          <w:lang w:val="es-ES"/>
        </w:rPr>
      </w:pPr>
    </w:p>
    <w:p w14:paraId="7FD82195" w14:textId="77777777" w:rsidR="0096081C" w:rsidRDefault="0096081C">
      <w:pPr>
        <w:rPr>
          <w:rFonts w:ascii="Arial" w:hAnsi="Arial" w:cs="Arial"/>
          <w:b/>
          <w:bCs/>
          <w:lang w:val="es-ES"/>
        </w:rPr>
      </w:pPr>
    </w:p>
    <w:p w14:paraId="46A98DDD" w14:textId="77777777" w:rsidR="0096081C" w:rsidRDefault="0096081C">
      <w:pPr>
        <w:rPr>
          <w:rFonts w:ascii="Arial" w:hAnsi="Arial" w:cs="Arial"/>
          <w:b/>
          <w:bCs/>
          <w:lang w:val="es-ES"/>
        </w:rPr>
      </w:pPr>
    </w:p>
    <w:p w14:paraId="27FB93BD" w14:textId="77777777" w:rsidR="0096081C" w:rsidRDefault="0096081C">
      <w:pPr>
        <w:rPr>
          <w:rFonts w:ascii="Arial" w:hAnsi="Arial" w:cs="Arial"/>
          <w:b/>
          <w:bCs/>
          <w:lang w:val="es-ES"/>
        </w:rPr>
      </w:pPr>
    </w:p>
    <w:p w14:paraId="61B3324B" w14:textId="77777777" w:rsidR="0096081C" w:rsidRDefault="0096081C">
      <w:pPr>
        <w:rPr>
          <w:rFonts w:ascii="Arial" w:hAnsi="Arial" w:cs="Arial"/>
          <w:b/>
          <w:bCs/>
          <w:lang w:val="es-ES"/>
        </w:rPr>
      </w:pPr>
    </w:p>
    <w:p w14:paraId="57242BA9" w14:textId="77777777" w:rsidR="0096081C" w:rsidRDefault="0096081C">
      <w:pPr>
        <w:rPr>
          <w:rFonts w:ascii="Arial" w:hAnsi="Arial" w:cs="Arial"/>
          <w:b/>
          <w:bCs/>
          <w:lang w:val="es-ES"/>
        </w:rPr>
      </w:pPr>
    </w:p>
    <w:p w14:paraId="59CF088D" w14:textId="77777777" w:rsidR="0096081C" w:rsidRDefault="0096081C">
      <w:pPr>
        <w:rPr>
          <w:rFonts w:ascii="Arial" w:hAnsi="Arial" w:cs="Arial"/>
          <w:b/>
          <w:bCs/>
          <w:lang w:val="es-ES"/>
        </w:rPr>
      </w:pPr>
    </w:p>
    <w:p w14:paraId="5607AF85" w14:textId="77777777" w:rsidR="0096081C" w:rsidRDefault="0096081C">
      <w:pPr>
        <w:rPr>
          <w:rFonts w:ascii="Arial" w:hAnsi="Arial" w:cs="Arial"/>
          <w:b/>
          <w:bCs/>
          <w:lang w:val="es-ES"/>
        </w:rPr>
      </w:pPr>
    </w:p>
    <w:p w14:paraId="1C0C6909" w14:textId="77777777" w:rsidR="0096081C" w:rsidRDefault="0096081C">
      <w:pPr>
        <w:rPr>
          <w:rFonts w:ascii="Arial" w:hAnsi="Arial" w:cs="Arial"/>
          <w:b/>
          <w:bCs/>
          <w:lang w:val="es-ES"/>
        </w:rPr>
      </w:pPr>
    </w:p>
    <w:p w14:paraId="0C3533B7" w14:textId="77777777" w:rsidR="0096081C" w:rsidRDefault="0096081C">
      <w:pPr>
        <w:rPr>
          <w:rFonts w:ascii="Arial" w:hAnsi="Arial" w:cs="Arial"/>
          <w:b/>
          <w:bCs/>
          <w:lang w:val="es-ES"/>
        </w:rPr>
      </w:pPr>
    </w:p>
    <w:p w14:paraId="590F7C8D" w14:textId="77777777" w:rsidR="0096081C" w:rsidRDefault="0096081C">
      <w:pPr>
        <w:rPr>
          <w:rFonts w:ascii="Arial" w:hAnsi="Arial" w:cs="Arial"/>
          <w:b/>
          <w:bCs/>
          <w:lang w:val="es-ES"/>
        </w:rPr>
      </w:pPr>
    </w:p>
    <w:p w14:paraId="63072F58" w14:textId="77777777" w:rsidR="0096081C" w:rsidRDefault="0096081C">
      <w:pPr>
        <w:rPr>
          <w:rFonts w:ascii="Arial" w:hAnsi="Arial" w:cs="Arial"/>
          <w:b/>
          <w:bCs/>
          <w:lang w:val="es-ES"/>
        </w:rPr>
      </w:pPr>
    </w:p>
    <w:p w14:paraId="252523EF" w14:textId="77777777" w:rsidR="00177D39" w:rsidRDefault="00177D39">
      <w:pPr>
        <w:rPr>
          <w:rFonts w:ascii="Arial" w:hAnsi="Arial" w:cs="Arial"/>
          <w:b/>
          <w:bCs/>
          <w:lang w:val="es-ES"/>
        </w:rPr>
      </w:pPr>
    </w:p>
    <w:p w14:paraId="028846F3" w14:textId="77777777" w:rsidR="00177D39" w:rsidRDefault="00177D39">
      <w:pPr>
        <w:rPr>
          <w:rFonts w:ascii="Arial" w:hAnsi="Arial" w:cs="Arial"/>
          <w:b/>
          <w:bCs/>
          <w:lang w:val="es-ES"/>
        </w:rPr>
      </w:pPr>
    </w:p>
    <w:p w14:paraId="1721F221" w14:textId="77777777" w:rsidR="00177D39" w:rsidRDefault="00177D39">
      <w:pPr>
        <w:rPr>
          <w:rFonts w:ascii="Arial" w:hAnsi="Arial" w:cs="Arial"/>
          <w:b/>
          <w:bCs/>
          <w:lang w:val="es-ES"/>
        </w:rPr>
      </w:pPr>
    </w:p>
    <w:p w14:paraId="58228536" w14:textId="77777777" w:rsidR="00177D39" w:rsidRDefault="00177D39">
      <w:pPr>
        <w:rPr>
          <w:rFonts w:ascii="Arial" w:hAnsi="Arial" w:cs="Arial"/>
          <w:b/>
          <w:bCs/>
          <w:lang w:val="es-ES"/>
        </w:rPr>
      </w:pPr>
    </w:p>
    <w:p w14:paraId="76A6215D" w14:textId="77777777" w:rsidR="00177D39" w:rsidRDefault="00177D39">
      <w:pPr>
        <w:rPr>
          <w:rFonts w:ascii="Arial" w:hAnsi="Arial" w:cs="Arial"/>
          <w:b/>
          <w:bCs/>
          <w:lang w:val="es-ES"/>
        </w:rPr>
      </w:pPr>
    </w:p>
    <w:p w14:paraId="60F1FB47" w14:textId="77777777" w:rsidR="00177D39" w:rsidRDefault="00177D39">
      <w:pPr>
        <w:rPr>
          <w:rFonts w:ascii="Arial" w:hAnsi="Arial" w:cs="Arial"/>
          <w:b/>
          <w:bCs/>
          <w:lang w:val="es-ES"/>
        </w:rPr>
      </w:pPr>
    </w:p>
    <w:p w14:paraId="798E28C0" w14:textId="77777777" w:rsidR="00177D39" w:rsidRDefault="00177D39">
      <w:pPr>
        <w:rPr>
          <w:rFonts w:ascii="Arial" w:hAnsi="Arial" w:cs="Arial"/>
          <w:b/>
          <w:bCs/>
          <w:lang w:val="es-ES"/>
        </w:rPr>
      </w:pPr>
    </w:p>
    <w:p w14:paraId="69FAAD37" w14:textId="77777777" w:rsidR="00177D39" w:rsidRDefault="00177D39">
      <w:pPr>
        <w:rPr>
          <w:rFonts w:ascii="Arial" w:hAnsi="Arial" w:cs="Arial"/>
          <w:b/>
          <w:bCs/>
          <w:lang w:val="es-ES"/>
        </w:rPr>
      </w:pPr>
    </w:p>
    <w:p w14:paraId="6F658777" w14:textId="77777777" w:rsidR="00177D39" w:rsidRDefault="00177D39">
      <w:pPr>
        <w:rPr>
          <w:rFonts w:ascii="Arial" w:hAnsi="Arial" w:cs="Arial"/>
          <w:b/>
          <w:bCs/>
          <w:lang w:val="es-ES"/>
        </w:rPr>
      </w:pPr>
    </w:p>
    <w:p w14:paraId="2B2BCCB3" w14:textId="77777777" w:rsidR="00177D39" w:rsidRDefault="00177D39">
      <w:pPr>
        <w:rPr>
          <w:rFonts w:ascii="Arial" w:hAnsi="Arial" w:cs="Arial"/>
          <w:b/>
          <w:bCs/>
          <w:lang w:val="es-ES"/>
        </w:rPr>
      </w:pPr>
    </w:p>
    <w:p w14:paraId="22488DF8" w14:textId="77777777" w:rsidR="007572AD" w:rsidRDefault="007572AD">
      <w:pPr>
        <w:rPr>
          <w:rFonts w:ascii="Arial" w:hAnsi="Arial" w:cs="Arial"/>
          <w:b/>
          <w:bCs/>
          <w:lang w:val="es-ES"/>
        </w:rPr>
      </w:pPr>
    </w:p>
    <w:p w14:paraId="78CF24C2" w14:textId="4DFDF263" w:rsidR="00CC7289" w:rsidRPr="00B33D70" w:rsidRDefault="00923BDC">
      <w:pPr>
        <w:rPr>
          <w:rFonts w:ascii="Arial" w:hAnsi="Arial" w:cs="Arial"/>
          <w:b/>
          <w:bCs/>
          <w:lang w:val="es-ES"/>
        </w:rPr>
      </w:pPr>
      <w:r>
        <w:rPr>
          <w:rFonts w:ascii="Arial" w:hAnsi="Arial" w:cs="Arial"/>
          <w:b/>
          <w:bCs/>
          <w:lang w:val="es-ES"/>
        </w:rPr>
        <w:lastRenderedPageBreak/>
        <w:t>Referencias</w:t>
      </w:r>
    </w:p>
    <w:p w14:paraId="4E66C93B" w14:textId="66266915" w:rsidR="00923BDC" w:rsidRPr="00D76699" w:rsidRDefault="00923BDC" w:rsidP="00483B53">
      <w:pPr>
        <w:pStyle w:val="NormalWeb"/>
        <w:spacing w:before="240" w:beforeAutospacing="0" w:after="240" w:afterAutospacing="0"/>
        <w:ind w:left="720" w:hanging="720"/>
        <w:rPr>
          <w:rFonts w:ascii="Arial" w:hAnsi="Arial" w:cs="Arial"/>
          <w:sz w:val="22"/>
          <w:szCs w:val="22"/>
          <w:lang w:val="en-US"/>
        </w:rPr>
      </w:pPr>
    </w:p>
    <w:sectPr w:rsidR="00923BDC" w:rsidRPr="00D7669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6F0914" w14:textId="77777777" w:rsidR="00432974" w:rsidRDefault="00432974" w:rsidP="00922E47">
      <w:r>
        <w:separator/>
      </w:r>
    </w:p>
  </w:endnote>
  <w:endnote w:type="continuationSeparator" w:id="0">
    <w:p w14:paraId="3B216E6B" w14:textId="77777777" w:rsidR="00432974" w:rsidRDefault="00432974" w:rsidP="00922E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Oracle Sans">
    <w:altName w:val="Cambria"/>
    <w:panose1 w:val="020B0604020202020204"/>
    <w:charset w:val="00"/>
    <w:family w:val="roman"/>
    <w:notTrueType/>
    <w:pitch w:val="default"/>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6EE9C2" w14:textId="77777777" w:rsidR="00432974" w:rsidRDefault="00432974" w:rsidP="00922E47">
      <w:r>
        <w:separator/>
      </w:r>
    </w:p>
  </w:footnote>
  <w:footnote w:type="continuationSeparator" w:id="0">
    <w:p w14:paraId="16F7D5D5" w14:textId="77777777" w:rsidR="00432974" w:rsidRDefault="00432974" w:rsidP="00922E4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33217"/>
    <w:multiLevelType w:val="multilevel"/>
    <w:tmpl w:val="A6E65F82"/>
    <w:lvl w:ilvl="0">
      <w:start w:val="1"/>
      <w:numFmt w:val="decimal"/>
      <w:pStyle w:val="Ttulo1"/>
      <w:lvlText w:val="%1."/>
      <w:lvlJc w:val="left"/>
      <w:pPr>
        <w:tabs>
          <w:tab w:val="num" w:pos="720"/>
        </w:tabs>
        <w:ind w:left="720" w:hanging="720"/>
      </w:pPr>
    </w:lvl>
    <w:lvl w:ilvl="1">
      <w:start w:val="1"/>
      <w:numFmt w:val="decimal"/>
      <w:pStyle w:val="Ttulo2"/>
      <w:lvlText w:val="%2."/>
      <w:lvlJc w:val="left"/>
      <w:pPr>
        <w:tabs>
          <w:tab w:val="num" w:pos="1440"/>
        </w:tabs>
        <w:ind w:left="1440" w:hanging="720"/>
      </w:pPr>
    </w:lvl>
    <w:lvl w:ilvl="2">
      <w:start w:val="1"/>
      <w:numFmt w:val="decimal"/>
      <w:pStyle w:val="Ttulo3"/>
      <w:lvlText w:val="%3."/>
      <w:lvlJc w:val="left"/>
      <w:pPr>
        <w:tabs>
          <w:tab w:val="num" w:pos="2160"/>
        </w:tabs>
        <w:ind w:left="2160" w:hanging="720"/>
      </w:pPr>
    </w:lvl>
    <w:lvl w:ilvl="3">
      <w:start w:val="1"/>
      <w:numFmt w:val="decimal"/>
      <w:pStyle w:val="Ttulo4"/>
      <w:lvlText w:val="%4."/>
      <w:lvlJc w:val="left"/>
      <w:pPr>
        <w:tabs>
          <w:tab w:val="num" w:pos="2880"/>
        </w:tabs>
        <w:ind w:left="2880" w:hanging="720"/>
      </w:pPr>
    </w:lvl>
    <w:lvl w:ilvl="4">
      <w:start w:val="1"/>
      <w:numFmt w:val="decimal"/>
      <w:pStyle w:val="Ttulo5"/>
      <w:lvlText w:val="%5."/>
      <w:lvlJc w:val="left"/>
      <w:pPr>
        <w:tabs>
          <w:tab w:val="num" w:pos="3600"/>
        </w:tabs>
        <w:ind w:left="3600" w:hanging="720"/>
      </w:pPr>
    </w:lvl>
    <w:lvl w:ilvl="5">
      <w:start w:val="1"/>
      <w:numFmt w:val="decimal"/>
      <w:pStyle w:val="Ttulo6"/>
      <w:lvlText w:val="%6."/>
      <w:lvlJc w:val="left"/>
      <w:pPr>
        <w:tabs>
          <w:tab w:val="num" w:pos="4320"/>
        </w:tabs>
        <w:ind w:left="4320" w:hanging="720"/>
      </w:pPr>
    </w:lvl>
    <w:lvl w:ilvl="6">
      <w:start w:val="1"/>
      <w:numFmt w:val="decimal"/>
      <w:pStyle w:val="Ttulo7"/>
      <w:lvlText w:val="%7."/>
      <w:lvlJc w:val="left"/>
      <w:pPr>
        <w:tabs>
          <w:tab w:val="num" w:pos="5040"/>
        </w:tabs>
        <w:ind w:left="5040" w:hanging="720"/>
      </w:pPr>
    </w:lvl>
    <w:lvl w:ilvl="7">
      <w:start w:val="1"/>
      <w:numFmt w:val="decimal"/>
      <w:pStyle w:val="Ttulo8"/>
      <w:lvlText w:val="%8."/>
      <w:lvlJc w:val="left"/>
      <w:pPr>
        <w:tabs>
          <w:tab w:val="num" w:pos="5760"/>
        </w:tabs>
        <w:ind w:left="5760" w:hanging="720"/>
      </w:pPr>
    </w:lvl>
    <w:lvl w:ilvl="8">
      <w:start w:val="1"/>
      <w:numFmt w:val="decimal"/>
      <w:pStyle w:val="Ttulo9"/>
      <w:lvlText w:val="%9."/>
      <w:lvlJc w:val="left"/>
      <w:pPr>
        <w:tabs>
          <w:tab w:val="num" w:pos="6480"/>
        </w:tabs>
        <w:ind w:left="6480" w:hanging="720"/>
      </w:pPr>
    </w:lvl>
  </w:abstractNum>
  <w:num w:numId="1" w16cid:durableId="21076543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3BDC"/>
    <w:rsid w:val="00000AA9"/>
    <w:rsid w:val="00013644"/>
    <w:rsid w:val="00024678"/>
    <w:rsid w:val="000279C2"/>
    <w:rsid w:val="000308FA"/>
    <w:rsid w:val="0003573A"/>
    <w:rsid w:val="0003690D"/>
    <w:rsid w:val="000429B5"/>
    <w:rsid w:val="00051E7D"/>
    <w:rsid w:val="00053CEB"/>
    <w:rsid w:val="0005406D"/>
    <w:rsid w:val="00072666"/>
    <w:rsid w:val="000825BB"/>
    <w:rsid w:val="00087B7E"/>
    <w:rsid w:val="000901C3"/>
    <w:rsid w:val="00092B88"/>
    <w:rsid w:val="000949E3"/>
    <w:rsid w:val="000A1E33"/>
    <w:rsid w:val="000B4631"/>
    <w:rsid w:val="000B79C5"/>
    <w:rsid w:val="000C3226"/>
    <w:rsid w:val="000E03D6"/>
    <w:rsid w:val="000E2488"/>
    <w:rsid w:val="000E524D"/>
    <w:rsid w:val="0010648E"/>
    <w:rsid w:val="00107AC9"/>
    <w:rsid w:val="00115695"/>
    <w:rsid w:val="00116C06"/>
    <w:rsid w:val="00117DD1"/>
    <w:rsid w:val="001432BC"/>
    <w:rsid w:val="001443C5"/>
    <w:rsid w:val="00145F8C"/>
    <w:rsid w:val="00147D64"/>
    <w:rsid w:val="0015397D"/>
    <w:rsid w:val="00161B01"/>
    <w:rsid w:val="001662E7"/>
    <w:rsid w:val="00170CF1"/>
    <w:rsid w:val="00171B52"/>
    <w:rsid w:val="001744BA"/>
    <w:rsid w:val="00177D39"/>
    <w:rsid w:val="00187DD0"/>
    <w:rsid w:val="001955D3"/>
    <w:rsid w:val="00196478"/>
    <w:rsid w:val="001B5317"/>
    <w:rsid w:val="001C05C7"/>
    <w:rsid w:val="001C1635"/>
    <w:rsid w:val="001D2DB9"/>
    <w:rsid w:val="001D66B7"/>
    <w:rsid w:val="001E557D"/>
    <w:rsid w:val="00216B37"/>
    <w:rsid w:val="0023425B"/>
    <w:rsid w:val="0023753C"/>
    <w:rsid w:val="0025138A"/>
    <w:rsid w:val="00251EC3"/>
    <w:rsid w:val="0026071F"/>
    <w:rsid w:val="00276492"/>
    <w:rsid w:val="002823D5"/>
    <w:rsid w:val="00291D9A"/>
    <w:rsid w:val="002A152C"/>
    <w:rsid w:val="002A28DF"/>
    <w:rsid w:val="002B04CD"/>
    <w:rsid w:val="002B363C"/>
    <w:rsid w:val="002B5811"/>
    <w:rsid w:val="002C1E5E"/>
    <w:rsid w:val="002D226C"/>
    <w:rsid w:val="002E372C"/>
    <w:rsid w:val="002F2F12"/>
    <w:rsid w:val="002F726B"/>
    <w:rsid w:val="0030462B"/>
    <w:rsid w:val="0030694D"/>
    <w:rsid w:val="0031253C"/>
    <w:rsid w:val="00313029"/>
    <w:rsid w:val="003242AA"/>
    <w:rsid w:val="003560DB"/>
    <w:rsid w:val="00361C47"/>
    <w:rsid w:val="00363F35"/>
    <w:rsid w:val="00371E11"/>
    <w:rsid w:val="0038156B"/>
    <w:rsid w:val="00381DC1"/>
    <w:rsid w:val="0039102F"/>
    <w:rsid w:val="00392319"/>
    <w:rsid w:val="003941DC"/>
    <w:rsid w:val="00394FB8"/>
    <w:rsid w:val="00395F1C"/>
    <w:rsid w:val="003A4F25"/>
    <w:rsid w:val="003B5693"/>
    <w:rsid w:val="003B7E22"/>
    <w:rsid w:val="003C032F"/>
    <w:rsid w:val="003C6931"/>
    <w:rsid w:val="003C6F75"/>
    <w:rsid w:val="003E69E0"/>
    <w:rsid w:val="003F061B"/>
    <w:rsid w:val="003F0C7E"/>
    <w:rsid w:val="003F4D44"/>
    <w:rsid w:val="0040017C"/>
    <w:rsid w:val="00402CF9"/>
    <w:rsid w:val="0040506B"/>
    <w:rsid w:val="00424C80"/>
    <w:rsid w:val="004260FD"/>
    <w:rsid w:val="00430741"/>
    <w:rsid w:val="0043274C"/>
    <w:rsid w:val="00432974"/>
    <w:rsid w:val="0046004E"/>
    <w:rsid w:val="00466C99"/>
    <w:rsid w:val="00470EEF"/>
    <w:rsid w:val="0047534E"/>
    <w:rsid w:val="004773FA"/>
    <w:rsid w:val="00483B53"/>
    <w:rsid w:val="004B7570"/>
    <w:rsid w:val="004B7B2B"/>
    <w:rsid w:val="004C1AD4"/>
    <w:rsid w:val="004C27BF"/>
    <w:rsid w:val="004C62CD"/>
    <w:rsid w:val="004D1E64"/>
    <w:rsid w:val="004E3647"/>
    <w:rsid w:val="004E4D70"/>
    <w:rsid w:val="004E6BC6"/>
    <w:rsid w:val="004F65F4"/>
    <w:rsid w:val="00501A89"/>
    <w:rsid w:val="00513450"/>
    <w:rsid w:val="005320F3"/>
    <w:rsid w:val="00533F79"/>
    <w:rsid w:val="005365D1"/>
    <w:rsid w:val="00537EBB"/>
    <w:rsid w:val="00540680"/>
    <w:rsid w:val="00552D04"/>
    <w:rsid w:val="005530B7"/>
    <w:rsid w:val="0055434A"/>
    <w:rsid w:val="00563F1B"/>
    <w:rsid w:val="00575904"/>
    <w:rsid w:val="005826FC"/>
    <w:rsid w:val="00592971"/>
    <w:rsid w:val="005B1EDF"/>
    <w:rsid w:val="005B37C3"/>
    <w:rsid w:val="005E058A"/>
    <w:rsid w:val="005F08F6"/>
    <w:rsid w:val="005F1AE3"/>
    <w:rsid w:val="005F2CAC"/>
    <w:rsid w:val="005F2ED0"/>
    <w:rsid w:val="005F666A"/>
    <w:rsid w:val="00610F3F"/>
    <w:rsid w:val="006150FC"/>
    <w:rsid w:val="00651515"/>
    <w:rsid w:val="00656A99"/>
    <w:rsid w:val="00656DAB"/>
    <w:rsid w:val="006609A4"/>
    <w:rsid w:val="00665198"/>
    <w:rsid w:val="00665E97"/>
    <w:rsid w:val="00665FC8"/>
    <w:rsid w:val="00673E48"/>
    <w:rsid w:val="0067479B"/>
    <w:rsid w:val="006832A8"/>
    <w:rsid w:val="006918EA"/>
    <w:rsid w:val="00691962"/>
    <w:rsid w:val="006A1A2D"/>
    <w:rsid w:val="006A774C"/>
    <w:rsid w:val="006B18FC"/>
    <w:rsid w:val="006C4C7F"/>
    <w:rsid w:val="006C56CB"/>
    <w:rsid w:val="006D0A0E"/>
    <w:rsid w:val="006E029E"/>
    <w:rsid w:val="006E2B5D"/>
    <w:rsid w:val="006E2D7D"/>
    <w:rsid w:val="006F2D36"/>
    <w:rsid w:val="006F65F4"/>
    <w:rsid w:val="00702DD1"/>
    <w:rsid w:val="00703AE5"/>
    <w:rsid w:val="00706200"/>
    <w:rsid w:val="0071691E"/>
    <w:rsid w:val="0072507E"/>
    <w:rsid w:val="007319E0"/>
    <w:rsid w:val="00732F46"/>
    <w:rsid w:val="00733B0B"/>
    <w:rsid w:val="00734A40"/>
    <w:rsid w:val="00734B5E"/>
    <w:rsid w:val="007572AD"/>
    <w:rsid w:val="0077175C"/>
    <w:rsid w:val="00774E50"/>
    <w:rsid w:val="007818B4"/>
    <w:rsid w:val="00781FB3"/>
    <w:rsid w:val="00783C74"/>
    <w:rsid w:val="007903E2"/>
    <w:rsid w:val="0079127E"/>
    <w:rsid w:val="0079342A"/>
    <w:rsid w:val="00794B97"/>
    <w:rsid w:val="00796663"/>
    <w:rsid w:val="007A2A6D"/>
    <w:rsid w:val="007A4E62"/>
    <w:rsid w:val="007B1790"/>
    <w:rsid w:val="007B18AD"/>
    <w:rsid w:val="007C1FBC"/>
    <w:rsid w:val="007D0BBF"/>
    <w:rsid w:val="007D3E23"/>
    <w:rsid w:val="007D6BD9"/>
    <w:rsid w:val="007E09B9"/>
    <w:rsid w:val="007E2BAD"/>
    <w:rsid w:val="007F6938"/>
    <w:rsid w:val="00823081"/>
    <w:rsid w:val="008244D3"/>
    <w:rsid w:val="00836D4E"/>
    <w:rsid w:val="008434B9"/>
    <w:rsid w:val="00846B7C"/>
    <w:rsid w:val="00847F4E"/>
    <w:rsid w:val="0085517D"/>
    <w:rsid w:val="00856071"/>
    <w:rsid w:val="00866585"/>
    <w:rsid w:val="00867018"/>
    <w:rsid w:val="008776F1"/>
    <w:rsid w:val="00891C20"/>
    <w:rsid w:val="00894BDF"/>
    <w:rsid w:val="00895E44"/>
    <w:rsid w:val="00896AF1"/>
    <w:rsid w:val="008B04B7"/>
    <w:rsid w:val="008B596D"/>
    <w:rsid w:val="008B7CF6"/>
    <w:rsid w:val="008C07ED"/>
    <w:rsid w:val="008C1651"/>
    <w:rsid w:val="008C4E76"/>
    <w:rsid w:val="008C70E1"/>
    <w:rsid w:val="008C7A77"/>
    <w:rsid w:val="008D3C46"/>
    <w:rsid w:val="008D3D35"/>
    <w:rsid w:val="008E256C"/>
    <w:rsid w:val="009100C1"/>
    <w:rsid w:val="009155DD"/>
    <w:rsid w:val="00922E47"/>
    <w:rsid w:val="00923172"/>
    <w:rsid w:val="00923BDC"/>
    <w:rsid w:val="00926067"/>
    <w:rsid w:val="00926854"/>
    <w:rsid w:val="00940651"/>
    <w:rsid w:val="00941EF3"/>
    <w:rsid w:val="0094414B"/>
    <w:rsid w:val="0094459F"/>
    <w:rsid w:val="00944F4F"/>
    <w:rsid w:val="00945ED1"/>
    <w:rsid w:val="009465A1"/>
    <w:rsid w:val="009523F2"/>
    <w:rsid w:val="009569A6"/>
    <w:rsid w:val="0096081C"/>
    <w:rsid w:val="0096148C"/>
    <w:rsid w:val="00967E49"/>
    <w:rsid w:val="00974B85"/>
    <w:rsid w:val="00975B2A"/>
    <w:rsid w:val="00984187"/>
    <w:rsid w:val="009871DE"/>
    <w:rsid w:val="009920F1"/>
    <w:rsid w:val="009944AF"/>
    <w:rsid w:val="009B07D0"/>
    <w:rsid w:val="009B0A73"/>
    <w:rsid w:val="009C6FCD"/>
    <w:rsid w:val="009D6443"/>
    <w:rsid w:val="009E62B6"/>
    <w:rsid w:val="009E64AA"/>
    <w:rsid w:val="009E6DF1"/>
    <w:rsid w:val="00A0327D"/>
    <w:rsid w:val="00A12C56"/>
    <w:rsid w:val="00A3393C"/>
    <w:rsid w:val="00A34DBB"/>
    <w:rsid w:val="00A36C15"/>
    <w:rsid w:val="00A40134"/>
    <w:rsid w:val="00A4124F"/>
    <w:rsid w:val="00A430E7"/>
    <w:rsid w:val="00A452AB"/>
    <w:rsid w:val="00A47E3A"/>
    <w:rsid w:val="00A5181B"/>
    <w:rsid w:val="00A5657E"/>
    <w:rsid w:val="00A56F12"/>
    <w:rsid w:val="00A602F1"/>
    <w:rsid w:val="00A618A5"/>
    <w:rsid w:val="00A6266D"/>
    <w:rsid w:val="00A70140"/>
    <w:rsid w:val="00A706A3"/>
    <w:rsid w:val="00A77486"/>
    <w:rsid w:val="00A86336"/>
    <w:rsid w:val="00A8789F"/>
    <w:rsid w:val="00A97888"/>
    <w:rsid w:val="00AA205E"/>
    <w:rsid w:val="00AB31DF"/>
    <w:rsid w:val="00AB4A7D"/>
    <w:rsid w:val="00AB4EA3"/>
    <w:rsid w:val="00AC1A77"/>
    <w:rsid w:val="00AD0F54"/>
    <w:rsid w:val="00AE688E"/>
    <w:rsid w:val="00AF181A"/>
    <w:rsid w:val="00AF56BC"/>
    <w:rsid w:val="00B0111A"/>
    <w:rsid w:val="00B01920"/>
    <w:rsid w:val="00B13635"/>
    <w:rsid w:val="00B148D8"/>
    <w:rsid w:val="00B15190"/>
    <w:rsid w:val="00B17A79"/>
    <w:rsid w:val="00B2000A"/>
    <w:rsid w:val="00B33D70"/>
    <w:rsid w:val="00B37480"/>
    <w:rsid w:val="00B4673C"/>
    <w:rsid w:val="00B474C1"/>
    <w:rsid w:val="00B80C0C"/>
    <w:rsid w:val="00B9182A"/>
    <w:rsid w:val="00B92530"/>
    <w:rsid w:val="00B96D73"/>
    <w:rsid w:val="00B96FB9"/>
    <w:rsid w:val="00BC21DA"/>
    <w:rsid w:val="00BD2776"/>
    <w:rsid w:val="00BD6AF4"/>
    <w:rsid w:val="00BE4AA0"/>
    <w:rsid w:val="00BE7CA9"/>
    <w:rsid w:val="00C01561"/>
    <w:rsid w:val="00C10A7D"/>
    <w:rsid w:val="00C33FEB"/>
    <w:rsid w:val="00C60D6F"/>
    <w:rsid w:val="00C66F04"/>
    <w:rsid w:val="00C74C1D"/>
    <w:rsid w:val="00C81159"/>
    <w:rsid w:val="00C84982"/>
    <w:rsid w:val="00C87AC8"/>
    <w:rsid w:val="00C9745A"/>
    <w:rsid w:val="00CA1F79"/>
    <w:rsid w:val="00CA49A1"/>
    <w:rsid w:val="00CB6CF4"/>
    <w:rsid w:val="00CC407A"/>
    <w:rsid w:val="00CC4210"/>
    <w:rsid w:val="00CC5A25"/>
    <w:rsid w:val="00CC7289"/>
    <w:rsid w:val="00CC7CF9"/>
    <w:rsid w:val="00CD3CBF"/>
    <w:rsid w:val="00CF16A9"/>
    <w:rsid w:val="00CF5BE7"/>
    <w:rsid w:val="00D0283F"/>
    <w:rsid w:val="00D028EE"/>
    <w:rsid w:val="00D124A4"/>
    <w:rsid w:val="00D15873"/>
    <w:rsid w:val="00D2065A"/>
    <w:rsid w:val="00D2159C"/>
    <w:rsid w:val="00D26B65"/>
    <w:rsid w:val="00D324E5"/>
    <w:rsid w:val="00D47203"/>
    <w:rsid w:val="00D538E0"/>
    <w:rsid w:val="00D643B7"/>
    <w:rsid w:val="00D66174"/>
    <w:rsid w:val="00D73A0B"/>
    <w:rsid w:val="00D76699"/>
    <w:rsid w:val="00D774E4"/>
    <w:rsid w:val="00D9499F"/>
    <w:rsid w:val="00DA0844"/>
    <w:rsid w:val="00DA5CFD"/>
    <w:rsid w:val="00DA661C"/>
    <w:rsid w:val="00DB048A"/>
    <w:rsid w:val="00DB2E1B"/>
    <w:rsid w:val="00DC03C1"/>
    <w:rsid w:val="00DC14A3"/>
    <w:rsid w:val="00DC2AEE"/>
    <w:rsid w:val="00DC48DC"/>
    <w:rsid w:val="00DD29AA"/>
    <w:rsid w:val="00DD3719"/>
    <w:rsid w:val="00DD6561"/>
    <w:rsid w:val="00DE307B"/>
    <w:rsid w:val="00DE3529"/>
    <w:rsid w:val="00DF6476"/>
    <w:rsid w:val="00DF6524"/>
    <w:rsid w:val="00DF6CDC"/>
    <w:rsid w:val="00E00F7D"/>
    <w:rsid w:val="00E03222"/>
    <w:rsid w:val="00E069A3"/>
    <w:rsid w:val="00E36BAC"/>
    <w:rsid w:val="00E42CF5"/>
    <w:rsid w:val="00E5740A"/>
    <w:rsid w:val="00E6004C"/>
    <w:rsid w:val="00E61C2F"/>
    <w:rsid w:val="00E740EA"/>
    <w:rsid w:val="00E7481A"/>
    <w:rsid w:val="00E74F1F"/>
    <w:rsid w:val="00E75F5E"/>
    <w:rsid w:val="00E767AF"/>
    <w:rsid w:val="00E923D4"/>
    <w:rsid w:val="00EA441D"/>
    <w:rsid w:val="00EA7A54"/>
    <w:rsid w:val="00EB245C"/>
    <w:rsid w:val="00EB4B73"/>
    <w:rsid w:val="00EB4D3A"/>
    <w:rsid w:val="00EC6D5B"/>
    <w:rsid w:val="00ED472C"/>
    <w:rsid w:val="00EE782F"/>
    <w:rsid w:val="00EF411E"/>
    <w:rsid w:val="00EF5F13"/>
    <w:rsid w:val="00F00D80"/>
    <w:rsid w:val="00F05048"/>
    <w:rsid w:val="00F0513F"/>
    <w:rsid w:val="00F07027"/>
    <w:rsid w:val="00F10663"/>
    <w:rsid w:val="00F1358C"/>
    <w:rsid w:val="00F20767"/>
    <w:rsid w:val="00F27BED"/>
    <w:rsid w:val="00F31FEF"/>
    <w:rsid w:val="00F334F1"/>
    <w:rsid w:val="00F47201"/>
    <w:rsid w:val="00F7106B"/>
    <w:rsid w:val="00F719DE"/>
    <w:rsid w:val="00F81F22"/>
    <w:rsid w:val="00F87E02"/>
    <w:rsid w:val="00F94C2A"/>
    <w:rsid w:val="00F976D4"/>
    <w:rsid w:val="00FA539E"/>
    <w:rsid w:val="00FC5ECC"/>
    <w:rsid w:val="00FC61BF"/>
    <w:rsid w:val="00FC661B"/>
    <w:rsid w:val="00FD2983"/>
    <w:rsid w:val="00FD7170"/>
    <w:rsid w:val="00FF2BF5"/>
    <w:rsid w:val="00FF32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EDEBF9"/>
  <w15:chartTrackingRefBased/>
  <w15:docId w15:val="{F3B84690-82DC-4009-B34A-79EC1EEB19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1E33"/>
    <w:pPr>
      <w:spacing w:after="0" w:line="240" w:lineRule="auto"/>
    </w:pPr>
    <w:rPr>
      <w:rFonts w:ascii="Times New Roman" w:eastAsia="Times New Roman" w:hAnsi="Times New Roman" w:cs="Times New Roman"/>
      <w:kern w:val="0"/>
      <w:sz w:val="24"/>
      <w:szCs w:val="24"/>
      <w:lang w:val="es-CO" w:eastAsia="es-MX"/>
      <w14:ligatures w14:val="none"/>
    </w:rPr>
  </w:style>
  <w:style w:type="paragraph" w:styleId="Ttulo1">
    <w:name w:val="heading 1"/>
    <w:basedOn w:val="Normal"/>
    <w:next w:val="Normal"/>
    <w:link w:val="Ttulo1Car"/>
    <w:uiPriority w:val="9"/>
    <w:qFormat/>
    <w:rsid w:val="00923BDC"/>
    <w:pPr>
      <w:keepNext/>
      <w:numPr>
        <w:numId w:val="1"/>
      </w:numPr>
      <w:spacing w:before="240" w:after="60"/>
      <w:outlineLvl w:val="0"/>
    </w:pPr>
    <w:rPr>
      <w:rFonts w:asciiTheme="majorHAnsi" w:eastAsiaTheme="majorEastAsia" w:hAnsiTheme="majorHAnsi" w:cstheme="majorBidi"/>
      <w:b/>
      <w:bCs/>
      <w:sz w:val="32"/>
      <w:szCs w:val="32"/>
    </w:rPr>
  </w:style>
  <w:style w:type="paragraph" w:styleId="Ttulo2">
    <w:name w:val="heading 2"/>
    <w:basedOn w:val="Normal"/>
    <w:next w:val="Normal"/>
    <w:link w:val="Ttulo2Car"/>
    <w:uiPriority w:val="9"/>
    <w:semiHidden/>
    <w:unhideWhenUsed/>
    <w:qFormat/>
    <w:rsid w:val="00923BDC"/>
    <w:pPr>
      <w:keepNext/>
      <w:numPr>
        <w:ilvl w:val="1"/>
        <w:numId w:val="1"/>
      </w:numPr>
      <w:spacing w:before="240" w:after="60"/>
      <w:outlineLvl w:val="1"/>
    </w:pPr>
    <w:rPr>
      <w:rFonts w:asciiTheme="majorHAnsi" w:eastAsiaTheme="majorEastAsia" w:hAnsiTheme="majorHAnsi" w:cstheme="majorBidi"/>
      <w:b/>
      <w:bCs/>
      <w:i/>
      <w:iCs/>
      <w:sz w:val="28"/>
      <w:szCs w:val="28"/>
    </w:rPr>
  </w:style>
  <w:style w:type="paragraph" w:styleId="Ttulo3">
    <w:name w:val="heading 3"/>
    <w:basedOn w:val="Normal"/>
    <w:next w:val="Normal"/>
    <w:link w:val="Ttulo3Car"/>
    <w:uiPriority w:val="9"/>
    <w:semiHidden/>
    <w:unhideWhenUsed/>
    <w:qFormat/>
    <w:rsid w:val="00923BDC"/>
    <w:pPr>
      <w:keepNext/>
      <w:numPr>
        <w:ilvl w:val="2"/>
        <w:numId w:val="1"/>
      </w:numPr>
      <w:tabs>
        <w:tab w:val="clear" w:pos="2160"/>
        <w:tab w:val="num" w:pos="360"/>
      </w:tabs>
      <w:spacing w:before="240" w:after="60"/>
      <w:ind w:left="0" w:firstLine="0"/>
      <w:outlineLvl w:val="2"/>
    </w:pPr>
    <w:rPr>
      <w:rFonts w:asciiTheme="majorHAnsi" w:eastAsiaTheme="majorEastAsia" w:hAnsiTheme="majorHAnsi" w:cstheme="majorBidi"/>
      <w:b/>
      <w:bCs/>
      <w:sz w:val="26"/>
      <w:szCs w:val="26"/>
    </w:rPr>
  </w:style>
  <w:style w:type="paragraph" w:styleId="Ttulo4">
    <w:name w:val="heading 4"/>
    <w:basedOn w:val="Normal"/>
    <w:next w:val="Normal"/>
    <w:link w:val="Ttulo4Car"/>
    <w:uiPriority w:val="9"/>
    <w:semiHidden/>
    <w:unhideWhenUsed/>
    <w:qFormat/>
    <w:rsid w:val="00923BDC"/>
    <w:pPr>
      <w:keepNext/>
      <w:numPr>
        <w:ilvl w:val="3"/>
        <w:numId w:val="1"/>
      </w:numPr>
      <w:tabs>
        <w:tab w:val="clear" w:pos="2880"/>
        <w:tab w:val="num" w:pos="360"/>
      </w:tabs>
      <w:spacing w:before="240" w:after="60"/>
      <w:ind w:left="0" w:firstLine="0"/>
      <w:outlineLvl w:val="3"/>
    </w:pPr>
    <w:rPr>
      <w:rFonts w:eastAsiaTheme="minorEastAsia"/>
      <w:b/>
      <w:bCs/>
      <w:sz w:val="28"/>
      <w:szCs w:val="28"/>
    </w:rPr>
  </w:style>
  <w:style w:type="paragraph" w:styleId="Ttulo5">
    <w:name w:val="heading 5"/>
    <w:basedOn w:val="Normal"/>
    <w:next w:val="Normal"/>
    <w:link w:val="Ttulo5Car"/>
    <w:uiPriority w:val="9"/>
    <w:semiHidden/>
    <w:unhideWhenUsed/>
    <w:qFormat/>
    <w:rsid w:val="00923BDC"/>
    <w:pPr>
      <w:numPr>
        <w:ilvl w:val="4"/>
        <w:numId w:val="1"/>
      </w:numPr>
      <w:tabs>
        <w:tab w:val="clear" w:pos="3600"/>
        <w:tab w:val="num" w:pos="360"/>
      </w:tabs>
      <w:spacing w:before="240" w:after="60"/>
      <w:ind w:left="0" w:firstLine="0"/>
      <w:outlineLvl w:val="4"/>
    </w:pPr>
    <w:rPr>
      <w:rFonts w:eastAsiaTheme="minorEastAsia"/>
      <w:b/>
      <w:bCs/>
      <w:i/>
      <w:iCs/>
      <w:sz w:val="26"/>
      <w:szCs w:val="26"/>
    </w:rPr>
  </w:style>
  <w:style w:type="paragraph" w:styleId="Ttulo6">
    <w:name w:val="heading 6"/>
    <w:basedOn w:val="Normal"/>
    <w:next w:val="Normal"/>
    <w:link w:val="Ttulo6Car"/>
    <w:uiPriority w:val="9"/>
    <w:qFormat/>
    <w:rsid w:val="00923BDC"/>
    <w:pPr>
      <w:numPr>
        <w:ilvl w:val="5"/>
        <w:numId w:val="1"/>
      </w:numPr>
      <w:spacing w:before="240" w:after="60"/>
      <w:outlineLvl w:val="5"/>
    </w:pPr>
    <w:rPr>
      <w:b/>
      <w:bCs/>
    </w:rPr>
  </w:style>
  <w:style w:type="paragraph" w:styleId="Ttulo7">
    <w:name w:val="heading 7"/>
    <w:basedOn w:val="Normal"/>
    <w:next w:val="Normal"/>
    <w:link w:val="Ttulo7Car"/>
    <w:uiPriority w:val="9"/>
    <w:semiHidden/>
    <w:unhideWhenUsed/>
    <w:qFormat/>
    <w:rsid w:val="00923BDC"/>
    <w:pPr>
      <w:numPr>
        <w:ilvl w:val="6"/>
        <w:numId w:val="1"/>
      </w:numPr>
      <w:spacing w:before="240" w:after="60"/>
      <w:outlineLvl w:val="6"/>
    </w:pPr>
    <w:rPr>
      <w:rFonts w:eastAsiaTheme="minorEastAsia"/>
    </w:rPr>
  </w:style>
  <w:style w:type="paragraph" w:styleId="Ttulo8">
    <w:name w:val="heading 8"/>
    <w:basedOn w:val="Normal"/>
    <w:next w:val="Normal"/>
    <w:link w:val="Ttulo8Car"/>
    <w:uiPriority w:val="9"/>
    <w:semiHidden/>
    <w:unhideWhenUsed/>
    <w:qFormat/>
    <w:rsid w:val="00923BDC"/>
    <w:pPr>
      <w:numPr>
        <w:ilvl w:val="7"/>
        <w:numId w:val="1"/>
      </w:numPr>
      <w:tabs>
        <w:tab w:val="clear" w:pos="5760"/>
        <w:tab w:val="num" w:pos="360"/>
      </w:tabs>
      <w:spacing w:before="240" w:after="60"/>
      <w:ind w:left="0" w:firstLine="0"/>
      <w:outlineLvl w:val="7"/>
    </w:pPr>
    <w:rPr>
      <w:rFonts w:eastAsiaTheme="minorEastAsia"/>
      <w:i/>
      <w:iCs/>
    </w:rPr>
  </w:style>
  <w:style w:type="paragraph" w:styleId="Ttulo9">
    <w:name w:val="heading 9"/>
    <w:basedOn w:val="Normal"/>
    <w:next w:val="Normal"/>
    <w:link w:val="Ttulo9Car"/>
    <w:uiPriority w:val="9"/>
    <w:semiHidden/>
    <w:unhideWhenUsed/>
    <w:qFormat/>
    <w:rsid w:val="00923BDC"/>
    <w:pPr>
      <w:numPr>
        <w:ilvl w:val="8"/>
        <w:numId w:val="1"/>
      </w:numPr>
      <w:tabs>
        <w:tab w:val="clear" w:pos="6480"/>
        <w:tab w:val="num" w:pos="360"/>
      </w:tabs>
      <w:spacing w:before="240" w:after="60"/>
      <w:ind w:left="0" w:firstLine="0"/>
      <w:outlineLvl w:val="8"/>
    </w:pPr>
    <w:rPr>
      <w:rFonts w:asciiTheme="majorHAnsi" w:eastAsiaTheme="majorEastAsia" w:hAnsiTheme="majorHAnsi" w:cstheme="majorBidi"/>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923BDC"/>
    <w:pPr>
      <w:spacing w:before="100" w:beforeAutospacing="1" w:after="100" w:afterAutospacing="1"/>
    </w:pPr>
  </w:style>
  <w:style w:type="character" w:styleId="Hipervnculo">
    <w:name w:val="Hyperlink"/>
    <w:basedOn w:val="Fuentedeprrafopredeter"/>
    <w:uiPriority w:val="99"/>
    <w:unhideWhenUsed/>
    <w:rsid w:val="00923BDC"/>
    <w:rPr>
      <w:color w:val="0000FF"/>
      <w:u w:val="single"/>
    </w:rPr>
  </w:style>
  <w:style w:type="character" w:customStyle="1" w:styleId="Ttulo1Car">
    <w:name w:val="Título 1 Car"/>
    <w:basedOn w:val="Fuentedeprrafopredeter"/>
    <w:link w:val="Ttulo1"/>
    <w:uiPriority w:val="9"/>
    <w:rsid w:val="00923BDC"/>
    <w:rPr>
      <w:rFonts w:asciiTheme="majorHAnsi" w:eastAsiaTheme="majorEastAsia" w:hAnsiTheme="majorHAnsi" w:cstheme="majorBidi"/>
      <w:b/>
      <w:bCs/>
      <w:sz w:val="32"/>
      <w:szCs w:val="32"/>
      <w:lang w:val="es-CO"/>
    </w:rPr>
  </w:style>
  <w:style w:type="character" w:customStyle="1" w:styleId="Ttulo2Car">
    <w:name w:val="Título 2 Car"/>
    <w:basedOn w:val="Fuentedeprrafopredeter"/>
    <w:link w:val="Ttulo2"/>
    <w:uiPriority w:val="9"/>
    <w:semiHidden/>
    <w:rsid w:val="00923BDC"/>
    <w:rPr>
      <w:rFonts w:asciiTheme="majorHAnsi" w:eastAsiaTheme="majorEastAsia" w:hAnsiTheme="majorHAnsi" w:cstheme="majorBidi"/>
      <w:b/>
      <w:bCs/>
      <w:i/>
      <w:iCs/>
      <w:sz w:val="28"/>
      <w:szCs w:val="28"/>
      <w:lang w:val="es-CO"/>
    </w:rPr>
  </w:style>
  <w:style w:type="character" w:customStyle="1" w:styleId="Ttulo3Car">
    <w:name w:val="Título 3 Car"/>
    <w:basedOn w:val="Fuentedeprrafopredeter"/>
    <w:link w:val="Ttulo3"/>
    <w:uiPriority w:val="9"/>
    <w:semiHidden/>
    <w:rsid w:val="00923BDC"/>
    <w:rPr>
      <w:rFonts w:asciiTheme="majorHAnsi" w:eastAsiaTheme="majorEastAsia" w:hAnsiTheme="majorHAnsi" w:cstheme="majorBidi"/>
      <w:b/>
      <w:bCs/>
      <w:sz w:val="26"/>
      <w:szCs w:val="26"/>
      <w:lang w:val="es-CO"/>
    </w:rPr>
  </w:style>
  <w:style w:type="character" w:customStyle="1" w:styleId="Ttulo4Car">
    <w:name w:val="Título 4 Car"/>
    <w:basedOn w:val="Fuentedeprrafopredeter"/>
    <w:link w:val="Ttulo4"/>
    <w:uiPriority w:val="9"/>
    <w:semiHidden/>
    <w:rsid w:val="00923BDC"/>
    <w:rPr>
      <w:rFonts w:eastAsiaTheme="minorEastAsia"/>
      <w:b/>
      <w:bCs/>
      <w:sz w:val="28"/>
      <w:szCs w:val="28"/>
      <w:lang w:val="es-CO"/>
    </w:rPr>
  </w:style>
  <w:style w:type="character" w:customStyle="1" w:styleId="Ttulo5Car">
    <w:name w:val="Título 5 Car"/>
    <w:basedOn w:val="Fuentedeprrafopredeter"/>
    <w:link w:val="Ttulo5"/>
    <w:uiPriority w:val="9"/>
    <w:semiHidden/>
    <w:rsid w:val="00923BDC"/>
    <w:rPr>
      <w:rFonts w:eastAsiaTheme="minorEastAsia"/>
      <w:b/>
      <w:bCs/>
      <w:i/>
      <w:iCs/>
      <w:sz w:val="26"/>
      <w:szCs w:val="26"/>
      <w:lang w:val="es-CO"/>
    </w:rPr>
  </w:style>
  <w:style w:type="character" w:customStyle="1" w:styleId="Ttulo6Car">
    <w:name w:val="Título 6 Car"/>
    <w:basedOn w:val="Fuentedeprrafopredeter"/>
    <w:link w:val="Ttulo6"/>
    <w:uiPriority w:val="9"/>
    <w:rsid w:val="00923BDC"/>
    <w:rPr>
      <w:rFonts w:ascii="Times New Roman" w:eastAsia="Times New Roman" w:hAnsi="Times New Roman" w:cs="Times New Roman"/>
      <w:b/>
      <w:bCs/>
      <w:lang w:val="es-CO"/>
    </w:rPr>
  </w:style>
  <w:style w:type="character" w:customStyle="1" w:styleId="Ttulo7Car">
    <w:name w:val="Título 7 Car"/>
    <w:basedOn w:val="Fuentedeprrafopredeter"/>
    <w:link w:val="Ttulo7"/>
    <w:uiPriority w:val="9"/>
    <w:semiHidden/>
    <w:rsid w:val="00923BDC"/>
    <w:rPr>
      <w:rFonts w:eastAsiaTheme="minorEastAsia"/>
      <w:sz w:val="24"/>
      <w:szCs w:val="24"/>
      <w:lang w:val="es-CO"/>
    </w:rPr>
  </w:style>
  <w:style w:type="character" w:customStyle="1" w:styleId="Ttulo8Car">
    <w:name w:val="Título 8 Car"/>
    <w:basedOn w:val="Fuentedeprrafopredeter"/>
    <w:link w:val="Ttulo8"/>
    <w:uiPriority w:val="9"/>
    <w:semiHidden/>
    <w:rsid w:val="00923BDC"/>
    <w:rPr>
      <w:rFonts w:eastAsiaTheme="minorEastAsia"/>
      <w:i/>
      <w:iCs/>
      <w:sz w:val="24"/>
      <w:szCs w:val="24"/>
      <w:lang w:val="es-CO"/>
    </w:rPr>
  </w:style>
  <w:style w:type="character" w:customStyle="1" w:styleId="Ttulo9Car">
    <w:name w:val="Título 9 Car"/>
    <w:basedOn w:val="Fuentedeprrafopredeter"/>
    <w:link w:val="Ttulo9"/>
    <w:uiPriority w:val="9"/>
    <w:semiHidden/>
    <w:rsid w:val="00923BDC"/>
    <w:rPr>
      <w:rFonts w:asciiTheme="majorHAnsi" w:eastAsiaTheme="majorEastAsia" w:hAnsiTheme="majorHAnsi" w:cstheme="majorBidi"/>
      <w:lang w:val="es-CO"/>
    </w:rPr>
  </w:style>
  <w:style w:type="character" w:styleId="Mencinsinresolver">
    <w:name w:val="Unresolved Mention"/>
    <w:basedOn w:val="Fuentedeprrafopredeter"/>
    <w:uiPriority w:val="99"/>
    <w:semiHidden/>
    <w:unhideWhenUsed/>
    <w:rsid w:val="00923BDC"/>
    <w:rPr>
      <w:color w:val="605E5C"/>
      <w:shd w:val="clear" w:color="auto" w:fill="E1DFDD"/>
    </w:rPr>
  </w:style>
  <w:style w:type="character" w:styleId="Hipervnculovisitado">
    <w:name w:val="FollowedHyperlink"/>
    <w:basedOn w:val="Fuentedeprrafopredeter"/>
    <w:uiPriority w:val="99"/>
    <w:semiHidden/>
    <w:unhideWhenUsed/>
    <w:rsid w:val="00923BDC"/>
    <w:rPr>
      <w:color w:val="96607D" w:themeColor="followedHyperlink"/>
      <w:u w:val="single"/>
    </w:rPr>
  </w:style>
  <w:style w:type="paragraph" w:styleId="Encabezado">
    <w:name w:val="header"/>
    <w:basedOn w:val="Normal"/>
    <w:link w:val="EncabezadoCar"/>
    <w:uiPriority w:val="99"/>
    <w:unhideWhenUsed/>
    <w:rsid w:val="00923BDC"/>
    <w:pPr>
      <w:tabs>
        <w:tab w:val="center" w:pos="4680"/>
        <w:tab w:val="right" w:pos="9360"/>
      </w:tabs>
    </w:pPr>
  </w:style>
  <w:style w:type="character" w:customStyle="1" w:styleId="EncabezadoCar">
    <w:name w:val="Encabezado Car"/>
    <w:basedOn w:val="Fuentedeprrafopredeter"/>
    <w:link w:val="Encabezado"/>
    <w:uiPriority w:val="99"/>
    <w:rsid w:val="00923BDC"/>
    <w:rPr>
      <w:lang w:val="es-CO"/>
    </w:rPr>
  </w:style>
  <w:style w:type="paragraph" w:styleId="Piedepgina">
    <w:name w:val="footer"/>
    <w:basedOn w:val="Normal"/>
    <w:link w:val="PiedepginaCar"/>
    <w:uiPriority w:val="99"/>
    <w:unhideWhenUsed/>
    <w:rsid w:val="00923BDC"/>
    <w:pPr>
      <w:tabs>
        <w:tab w:val="center" w:pos="4680"/>
        <w:tab w:val="right" w:pos="9360"/>
      </w:tabs>
    </w:pPr>
  </w:style>
  <w:style w:type="character" w:customStyle="1" w:styleId="PiedepginaCar">
    <w:name w:val="Pie de página Car"/>
    <w:basedOn w:val="Fuentedeprrafopredeter"/>
    <w:link w:val="Piedepgina"/>
    <w:uiPriority w:val="99"/>
    <w:rsid w:val="00923BDC"/>
    <w:rPr>
      <w:lang w:val="es-CO"/>
    </w:rPr>
  </w:style>
  <w:style w:type="paragraph" w:styleId="Saludo">
    <w:name w:val="Salutation"/>
    <w:basedOn w:val="Normal"/>
    <w:next w:val="Normal"/>
    <w:link w:val="SaludoCar"/>
    <w:uiPriority w:val="99"/>
    <w:unhideWhenUsed/>
    <w:rsid w:val="00923BDC"/>
  </w:style>
  <w:style w:type="character" w:customStyle="1" w:styleId="SaludoCar">
    <w:name w:val="Saludo Car"/>
    <w:basedOn w:val="Fuentedeprrafopredeter"/>
    <w:link w:val="Saludo"/>
    <w:uiPriority w:val="99"/>
    <w:rsid w:val="00923BDC"/>
    <w:rPr>
      <w:lang w:val="es-CO"/>
    </w:rPr>
  </w:style>
  <w:style w:type="paragraph" w:styleId="Descripcin">
    <w:name w:val="caption"/>
    <w:basedOn w:val="Normal"/>
    <w:next w:val="Normal"/>
    <w:uiPriority w:val="35"/>
    <w:unhideWhenUsed/>
    <w:qFormat/>
    <w:rsid w:val="00923BDC"/>
    <w:pPr>
      <w:spacing w:after="200"/>
    </w:pPr>
    <w:rPr>
      <w:i/>
      <w:iCs/>
      <w:color w:val="0E2841" w:themeColor="text2"/>
      <w:sz w:val="18"/>
      <w:szCs w:val="18"/>
    </w:rPr>
  </w:style>
  <w:style w:type="paragraph" w:styleId="Textoindependiente">
    <w:name w:val="Body Text"/>
    <w:basedOn w:val="Normal"/>
    <w:link w:val="TextoindependienteCar"/>
    <w:uiPriority w:val="99"/>
    <w:unhideWhenUsed/>
    <w:rsid w:val="00923BDC"/>
    <w:pPr>
      <w:spacing w:after="120"/>
    </w:pPr>
  </w:style>
  <w:style w:type="character" w:customStyle="1" w:styleId="TextoindependienteCar">
    <w:name w:val="Texto independiente Car"/>
    <w:basedOn w:val="Fuentedeprrafopredeter"/>
    <w:link w:val="Textoindependiente"/>
    <w:uiPriority w:val="99"/>
    <w:rsid w:val="00923BDC"/>
    <w:rPr>
      <w:lang w:val="es-CO"/>
    </w:rPr>
  </w:style>
  <w:style w:type="paragraph" w:styleId="Ttulo">
    <w:name w:val="Title"/>
    <w:basedOn w:val="Normal"/>
    <w:next w:val="Normal"/>
    <w:link w:val="TtuloCar"/>
    <w:uiPriority w:val="10"/>
    <w:qFormat/>
    <w:rsid w:val="00923BDC"/>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23BD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23BDC"/>
    <w:pPr>
      <w:numPr>
        <w:ilvl w:val="1"/>
      </w:numPr>
      <w:ind w:firstLine="709"/>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23BD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23BDC"/>
    <w:pPr>
      <w:spacing w:before="160"/>
      <w:jc w:val="center"/>
    </w:pPr>
    <w:rPr>
      <w:i/>
      <w:iCs/>
      <w:color w:val="404040" w:themeColor="text1" w:themeTint="BF"/>
    </w:rPr>
  </w:style>
  <w:style w:type="character" w:customStyle="1" w:styleId="CitaCar">
    <w:name w:val="Cita Car"/>
    <w:basedOn w:val="Fuentedeprrafopredeter"/>
    <w:link w:val="Cita"/>
    <w:uiPriority w:val="29"/>
    <w:rsid w:val="00923BDC"/>
    <w:rPr>
      <w:i/>
      <w:iCs/>
      <w:color w:val="404040" w:themeColor="text1" w:themeTint="BF"/>
    </w:rPr>
  </w:style>
  <w:style w:type="paragraph" w:styleId="Prrafodelista">
    <w:name w:val="List Paragraph"/>
    <w:basedOn w:val="Normal"/>
    <w:uiPriority w:val="34"/>
    <w:qFormat/>
    <w:rsid w:val="00923BDC"/>
    <w:pPr>
      <w:ind w:left="720"/>
      <w:contextualSpacing/>
    </w:pPr>
  </w:style>
  <w:style w:type="character" w:styleId="nfasisintenso">
    <w:name w:val="Intense Emphasis"/>
    <w:basedOn w:val="Fuentedeprrafopredeter"/>
    <w:uiPriority w:val="21"/>
    <w:qFormat/>
    <w:rsid w:val="00923BDC"/>
    <w:rPr>
      <w:i/>
      <w:iCs/>
      <w:color w:val="C21717" w:themeColor="accent1" w:themeShade="BF"/>
    </w:rPr>
  </w:style>
  <w:style w:type="paragraph" w:styleId="Citadestacada">
    <w:name w:val="Intense Quote"/>
    <w:basedOn w:val="Normal"/>
    <w:next w:val="Normal"/>
    <w:link w:val="CitadestacadaCar"/>
    <w:uiPriority w:val="30"/>
    <w:qFormat/>
    <w:rsid w:val="00923BDC"/>
    <w:pPr>
      <w:pBdr>
        <w:top w:val="single" w:sz="4" w:space="10" w:color="C21717" w:themeColor="accent1" w:themeShade="BF"/>
        <w:bottom w:val="single" w:sz="4" w:space="10" w:color="C21717" w:themeColor="accent1" w:themeShade="BF"/>
      </w:pBdr>
      <w:spacing w:before="360" w:after="360"/>
      <w:ind w:left="864" w:right="864"/>
      <w:jc w:val="center"/>
    </w:pPr>
    <w:rPr>
      <w:i/>
      <w:iCs/>
      <w:color w:val="C21717" w:themeColor="accent1" w:themeShade="BF"/>
    </w:rPr>
  </w:style>
  <w:style w:type="character" w:customStyle="1" w:styleId="CitadestacadaCar">
    <w:name w:val="Cita destacada Car"/>
    <w:basedOn w:val="Fuentedeprrafopredeter"/>
    <w:link w:val="Citadestacada"/>
    <w:uiPriority w:val="30"/>
    <w:rsid w:val="00923BDC"/>
    <w:rPr>
      <w:i/>
      <w:iCs/>
      <w:color w:val="C21717" w:themeColor="accent1" w:themeShade="BF"/>
    </w:rPr>
  </w:style>
  <w:style w:type="character" w:styleId="Referenciaintensa">
    <w:name w:val="Intense Reference"/>
    <w:basedOn w:val="Fuentedeprrafopredeter"/>
    <w:uiPriority w:val="32"/>
    <w:qFormat/>
    <w:rsid w:val="00923BDC"/>
    <w:rPr>
      <w:b/>
      <w:bCs/>
      <w:smallCaps/>
      <w:color w:val="C21717" w:themeColor="accent1" w:themeShade="BF"/>
      <w:spacing w:val="5"/>
    </w:rPr>
  </w:style>
  <w:style w:type="paragraph" w:styleId="Textonotapie">
    <w:name w:val="footnote text"/>
    <w:basedOn w:val="Normal"/>
    <w:link w:val="TextonotapieCar"/>
    <w:uiPriority w:val="99"/>
    <w:semiHidden/>
    <w:unhideWhenUsed/>
    <w:rsid w:val="00922E47"/>
    <w:rPr>
      <w:sz w:val="20"/>
      <w:szCs w:val="20"/>
    </w:rPr>
  </w:style>
  <w:style w:type="character" w:customStyle="1" w:styleId="TextonotapieCar">
    <w:name w:val="Texto nota pie Car"/>
    <w:basedOn w:val="Fuentedeprrafopredeter"/>
    <w:link w:val="Textonotapie"/>
    <w:uiPriority w:val="99"/>
    <w:semiHidden/>
    <w:rsid w:val="00922E47"/>
    <w:rPr>
      <w:sz w:val="20"/>
      <w:szCs w:val="20"/>
    </w:rPr>
  </w:style>
  <w:style w:type="character" w:styleId="Refdenotaalpie">
    <w:name w:val="footnote reference"/>
    <w:basedOn w:val="Fuentedeprrafopredeter"/>
    <w:uiPriority w:val="99"/>
    <w:semiHidden/>
    <w:unhideWhenUsed/>
    <w:rsid w:val="00922E47"/>
    <w:rPr>
      <w:vertAlign w:val="superscript"/>
    </w:rPr>
  </w:style>
  <w:style w:type="table" w:styleId="Tablaconcuadrcula">
    <w:name w:val="Table Grid"/>
    <w:basedOn w:val="Tablanormal"/>
    <w:uiPriority w:val="39"/>
    <w:rsid w:val="00371E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DF6476"/>
    <w:pPr>
      <w:spacing w:after="0" w:line="240" w:lineRule="auto"/>
    </w:pPr>
  </w:style>
  <w:style w:type="character" w:styleId="Fuerte">
    <w:name w:val="Strong"/>
    <w:basedOn w:val="Fuentedeprrafopredeter"/>
    <w:uiPriority w:val="22"/>
    <w:qFormat/>
    <w:rsid w:val="0082308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275193">
      <w:bodyDiv w:val="1"/>
      <w:marLeft w:val="0"/>
      <w:marRight w:val="0"/>
      <w:marTop w:val="0"/>
      <w:marBottom w:val="0"/>
      <w:divBdr>
        <w:top w:val="none" w:sz="0" w:space="0" w:color="auto"/>
        <w:left w:val="none" w:sz="0" w:space="0" w:color="auto"/>
        <w:bottom w:val="none" w:sz="0" w:space="0" w:color="auto"/>
        <w:right w:val="none" w:sz="0" w:space="0" w:color="auto"/>
      </w:divBdr>
    </w:div>
    <w:div w:id="191964233">
      <w:bodyDiv w:val="1"/>
      <w:marLeft w:val="0"/>
      <w:marRight w:val="0"/>
      <w:marTop w:val="0"/>
      <w:marBottom w:val="0"/>
      <w:divBdr>
        <w:top w:val="none" w:sz="0" w:space="0" w:color="auto"/>
        <w:left w:val="none" w:sz="0" w:space="0" w:color="auto"/>
        <w:bottom w:val="none" w:sz="0" w:space="0" w:color="auto"/>
        <w:right w:val="none" w:sz="0" w:space="0" w:color="auto"/>
      </w:divBdr>
    </w:div>
    <w:div w:id="212231847">
      <w:bodyDiv w:val="1"/>
      <w:marLeft w:val="0"/>
      <w:marRight w:val="0"/>
      <w:marTop w:val="0"/>
      <w:marBottom w:val="0"/>
      <w:divBdr>
        <w:top w:val="none" w:sz="0" w:space="0" w:color="auto"/>
        <w:left w:val="none" w:sz="0" w:space="0" w:color="auto"/>
        <w:bottom w:val="none" w:sz="0" w:space="0" w:color="auto"/>
        <w:right w:val="none" w:sz="0" w:space="0" w:color="auto"/>
      </w:divBdr>
    </w:div>
    <w:div w:id="788089836">
      <w:bodyDiv w:val="1"/>
      <w:marLeft w:val="0"/>
      <w:marRight w:val="0"/>
      <w:marTop w:val="0"/>
      <w:marBottom w:val="0"/>
      <w:divBdr>
        <w:top w:val="none" w:sz="0" w:space="0" w:color="auto"/>
        <w:left w:val="none" w:sz="0" w:space="0" w:color="auto"/>
        <w:bottom w:val="none" w:sz="0" w:space="0" w:color="auto"/>
        <w:right w:val="none" w:sz="0" w:space="0" w:color="auto"/>
      </w:divBdr>
    </w:div>
    <w:div w:id="865601259">
      <w:bodyDiv w:val="1"/>
      <w:marLeft w:val="0"/>
      <w:marRight w:val="0"/>
      <w:marTop w:val="0"/>
      <w:marBottom w:val="0"/>
      <w:divBdr>
        <w:top w:val="none" w:sz="0" w:space="0" w:color="auto"/>
        <w:left w:val="none" w:sz="0" w:space="0" w:color="auto"/>
        <w:bottom w:val="none" w:sz="0" w:space="0" w:color="auto"/>
        <w:right w:val="none" w:sz="0" w:space="0" w:color="auto"/>
      </w:divBdr>
    </w:div>
    <w:div w:id="963538621">
      <w:bodyDiv w:val="1"/>
      <w:marLeft w:val="0"/>
      <w:marRight w:val="0"/>
      <w:marTop w:val="0"/>
      <w:marBottom w:val="0"/>
      <w:divBdr>
        <w:top w:val="none" w:sz="0" w:space="0" w:color="auto"/>
        <w:left w:val="none" w:sz="0" w:space="0" w:color="auto"/>
        <w:bottom w:val="none" w:sz="0" w:space="0" w:color="auto"/>
        <w:right w:val="none" w:sz="0" w:space="0" w:color="auto"/>
      </w:divBdr>
    </w:div>
    <w:div w:id="971784137">
      <w:bodyDiv w:val="1"/>
      <w:marLeft w:val="0"/>
      <w:marRight w:val="0"/>
      <w:marTop w:val="0"/>
      <w:marBottom w:val="0"/>
      <w:divBdr>
        <w:top w:val="none" w:sz="0" w:space="0" w:color="auto"/>
        <w:left w:val="none" w:sz="0" w:space="0" w:color="auto"/>
        <w:bottom w:val="none" w:sz="0" w:space="0" w:color="auto"/>
        <w:right w:val="none" w:sz="0" w:space="0" w:color="auto"/>
      </w:divBdr>
    </w:div>
    <w:div w:id="1058699405">
      <w:bodyDiv w:val="1"/>
      <w:marLeft w:val="0"/>
      <w:marRight w:val="0"/>
      <w:marTop w:val="0"/>
      <w:marBottom w:val="0"/>
      <w:divBdr>
        <w:top w:val="none" w:sz="0" w:space="0" w:color="auto"/>
        <w:left w:val="none" w:sz="0" w:space="0" w:color="auto"/>
        <w:bottom w:val="none" w:sz="0" w:space="0" w:color="auto"/>
        <w:right w:val="none" w:sz="0" w:space="0" w:color="auto"/>
      </w:divBdr>
    </w:div>
    <w:div w:id="1176575910">
      <w:bodyDiv w:val="1"/>
      <w:marLeft w:val="0"/>
      <w:marRight w:val="0"/>
      <w:marTop w:val="0"/>
      <w:marBottom w:val="0"/>
      <w:divBdr>
        <w:top w:val="none" w:sz="0" w:space="0" w:color="auto"/>
        <w:left w:val="none" w:sz="0" w:space="0" w:color="auto"/>
        <w:bottom w:val="none" w:sz="0" w:space="0" w:color="auto"/>
        <w:right w:val="none" w:sz="0" w:space="0" w:color="auto"/>
      </w:divBdr>
    </w:div>
    <w:div w:id="1361198490">
      <w:bodyDiv w:val="1"/>
      <w:marLeft w:val="0"/>
      <w:marRight w:val="0"/>
      <w:marTop w:val="0"/>
      <w:marBottom w:val="0"/>
      <w:divBdr>
        <w:top w:val="none" w:sz="0" w:space="0" w:color="auto"/>
        <w:left w:val="none" w:sz="0" w:space="0" w:color="auto"/>
        <w:bottom w:val="none" w:sz="0" w:space="0" w:color="auto"/>
        <w:right w:val="none" w:sz="0" w:space="0" w:color="auto"/>
      </w:divBdr>
    </w:div>
    <w:div w:id="1437359414">
      <w:bodyDiv w:val="1"/>
      <w:marLeft w:val="0"/>
      <w:marRight w:val="0"/>
      <w:marTop w:val="0"/>
      <w:marBottom w:val="0"/>
      <w:divBdr>
        <w:top w:val="none" w:sz="0" w:space="0" w:color="auto"/>
        <w:left w:val="none" w:sz="0" w:space="0" w:color="auto"/>
        <w:bottom w:val="none" w:sz="0" w:space="0" w:color="auto"/>
        <w:right w:val="none" w:sz="0" w:space="0" w:color="auto"/>
      </w:divBdr>
    </w:div>
    <w:div w:id="1811315875">
      <w:bodyDiv w:val="1"/>
      <w:marLeft w:val="0"/>
      <w:marRight w:val="0"/>
      <w:marTop w:val="0"/>
      <w:marBottom w:val="0"/>
      <w:divBdr>
        <w:top w:val="none" w:sz="0" w:space="0" w:color="auto"/>
        <w:left w:val="none" w:sz="0" w:space="0" w:color="auto"/>
        <w:bottom w:val="none" w:sz="0" w:space="0" w:color="auto"/>
        <w:right w:val="none" w:sz="0" w:space="0" w:color="auto"/>
      </w:divBdr>
    </w:div>
    <w:div w:id="1845854133">
      <w:bodyDiv w:val="1"/>
      <w:marLeft w:val="0"/>
      <w:marRight w:val="0"/>
      <w:marTop w:val="0"/>
      <w:marBottom w:val="0"/>
      <w:divBdr>
        <w:top w:val="none" w:sz="0" w:space="0" w:color="auto"/>
        <w:left w:val="none" w:sz="0" w:space="0" w:color="auto"/>
        <w:bottom w:val="none" w:sz="0" w:space="0" w:color="auto"/>
        <w:right w:val="none" w:sz="0" w:space="0" w:color="auto"/>
      </w:divBdr>
    </w:div>
    <w:div w:id="2031371665">
      <w:bodyDiv w:val="1"/>
      <w:marLeft w:val="0"/>
      <w:marRight w:val="0"/>
      <w:marTop w:val="0"/>
      <w:marBottom w:val="0"/>
      <w:divBdr>
        <w:top w:val="none" w:sz="0" w:space="0" w:color="auto"/>
        <w:left w:val="none" w:sz="0" w:space="0" w:color="auto"/>
        <w:bottom w:val="none" w:sz="0" w:space="0" w:color="auto"/>
        <w:right w:val="none" w:sz="0" w:space="0" w:color="auto"/>
      </w:divBdr>
    </w:div>
    <w:div w:id="2038044428">
      <w:bodyDiv w:val="1"/>
      <w:marLeft w:val="0"/>
      <w:marRight w:val="0"/>
      <w:marTop w:val="0"/>
      <w:marBottom w:val="0"/>
      <w:divBdr>
        <w:top w:val="none" w:sz="0" w:space="0" w:color="auto"/>
        <w:left w:val="none" w:sz="0" w:space="0" w:color="auto"/>
        <w:bottom w:val="none" w:sz="0" w:space="0" w:color="auto"/>
        <w:right w:val="none" w:sz="0" w:space="0" w:color="auto"/>
      </w:divBdr>
    </w:div>
    <w:div w:id="21244964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Id="rId8" Type="http://schemas.openxmlformats.org/officeDocument/2006/relationships/chart" Target="charts/chart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4.xml"/><Relationship Id="rId5" Type="http://schemas.openxmlformats.org/officeDocument/2006/relationships/webSettings" Target="webSettings.xml"/><Relationship Id="rId10" Type="http://schemas.openxmlformats.org/officeDocument/2006/relationships/chart" Target="charts/chart3.xml"/><Relationship Id="rId4" Type="http://schemas.openxmlformats.org/officeDocument/2006/relationships/settings" Target="settings.xml"/><Relationship Id="rId9" Type="http://schemas.openxmlformats.org/officeDocument/2006/relationships/chart" Target="charts/chart2.xml"/></Relationships>
</file>

<file path=word/charts/_rels/chart1.xml.rels><?xml version="1.0" encoding="UTF-8"?><Relationships xmlns="http://schemas.openxmlformats.org/package/2006/relationships"><Relationship Id="rId3" Type="http://schemas.openxmlformats.org/officeDocument/2006/relationships/oleObject" Target="file:////Users/santi/Documents/EAFIT/Coyuntura/Informe%20semestral/Balanza%20de%20pagos/2026-1/Excel/Graficos_BP_2025-2_final.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Relationships xmlns="http://schemas.openxmlformats.org/package/2006/relationships"><Relationship Id="rId3" Type="http://schemas.openxmlformats.org/officeDocument/2006/relationships/oleObject" Target="file:////Users/santi/Documents/EAFIT/Coyuntura/Informe%20semestral/Balanza%20de%20pagos/2026-1/Excel/Graficos_BP_2025-2_final.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Relationships xmlns="http://schemas.openxmlformats.org/package/2006/relationships"><Relationship Id="rId3" Type="http://schemas.openxmlformats.org/officeDocument/2006/relationships/oleObject" Target="file:////Users/santi/Documents/EAFIT/Coyuntura/Informe%20semestral/Balanza%20de%20pagos/2026-1/Excel/Graficos_BP_2026-1_final.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Relationships xmlns="http://schemas.openxmlformats.org/package/2006/relationships"><Relationship Id="rId3" Type="http://schemas.openxmlformats.org/officeDocument/2006/relationships/oleObject" Target="file:////Users/santi/Downloads/Graficos_BP_2026-1_final.xlsx" TargetMode="External"/><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stacked"/>
        <c:varyColors val="0"/>
        <c:ser>
          <c:idx val="0"/>
          <c:order val="0"/>
          <c:tx>
            <c:strRef>
              <c:f>'Cuenta Corriente'!$C$1</c:f>
              <c:strCache>
                <c:ptCount val="1"/>
                <c:pt idx="0">
                  <c:v>Bienes</c:v>
                </c:pt>
              </c:strCache>
            </c:strRef>
          </c:tx>
          <c:spPr>
            <a:solidFill>
              <a:schemeClr val="accent2"/>
            </a:solidFill>
            <a:ln>
              <a:noFill/>
            </a:ln>
            <a:effectLst/>
          </c:spPr>
          <c:invertIfNegative val="0"/>
          <c:cat>
            <c:multiLvlStrRef>
              <c:f>'Cuenta Corriente'!$A$2:$B$21</c:f>
              <c:multiLvlStrCache>
                <c:ptCount val="20"/>
                <c:lvl>
                  <c:pt idx="0">
                    <c:v>I</c:v>
                  </c:pt>
                  <c:pt idx="1">
                    <c:v>II</c:v>
                  </c:pt>
                  <c:pt idx="2">
                    <c:v>III</c:v>
                  </c:pt>
                  <c:pt idx="3">
                    <c:v>IV</c:v>
                  </c:pt>
                  <c:pt idx="4">
                    <c:v>I</c:v>
                  </c:pt>
                  <c:pt idx="5">
                    <c:v>II</c:v>
                  </c:pt>
                  <c:pt idx="6">
                    <c:v>III</c:v>
                  </c:pt>
                  <c:pt idx="7">
                    <c:v>IV</c:v>
                  </c:pt>
                  <c:pt idx="8">
                    <c:v>I</c:v>
                  </c:pt>
                  <c:pt idx="9">
                    <c:v>II</c:v>
                  </c:pt>
                  <c:pt idx="10">
                    <c:v>III</c:v>
                  </c:pt>
                  <c:pt idx="11">
                    <c:v>IV</c:v>
                  </c:pt>
                  <c:pt idx="12">
                    <c:v>I</c:v>
                  </c:pt>
                  <c:pt idx="13">
                    <c:v>II</c:v>
                  </c:pt>
                  <c:pt idx="14">
                    <c:v>III</c:v>
                  </c:pt>
                  <c:pt idx="15">
                    <c:v>IV</c:v>
                  </c:pt>
                  <c:pt idx="16">
                    <c:v>I</c:v>
                  </c:pt>
                  <c:pt idx="17">
                    <c:v>II</c:v>
                  </c:pt>
                  <c:pt idx="18">
                    <c:v>III</c:v>
                  </c:pt>
                  <c:pt idx="19">
                    <c:v>IV</c:v>
                  </c:pt>
                </c:lvl>
                <c:lvl>
                  <c:pt idx="0">
                    <c:v>2021</c:v>
                  </c:pt>
                  <c:pt idx="4">
                    <c:v>2022</c:v>
                  </c:pt>
                  <c:pt idx="8">
                    <c:v>2023</c:v>
                  </c:pt>
                  <c:pt idx="12">
                    <c:v>2024</c:v>
                  </c:pt>
                  <c:pt idx="16">
                    <c:v>2025</c:v>
                  </c:pt>
                </c:lvl>
              </c:multiLvlStrCache>
            </c:multiLvlStrRef>
          </c:cat>
          <c:val>
            <c:numRef>
              <c:f>'Cuenta Corriente'!$C$2:$C$21</c:f>
              <c:numCache>
                <c:formatCode>#,##0.00_);\(#,##0.00\)</c:formatCode>
                <c:ptCount val="20"/>
                <c:pt idx="0">
                  <c:v>-2587.520595</c:v>
                </c:pt>
                <c:pt idx="1">
                  <c:v>-3548.1394759999998</c:v>
                </c:pt>
                <c:pt idx="2">
                  <c:v>-3692.5201109999998</c:v>
                </c:pt>
                <c:pt idx="3">
                  <c:v>-4155.4611080000004</c:v>
                </c:pt>
                <c:pt idx="4">
                  <c:v>-3733.9745189999999</c:v>
                </c:pt>
                <c:pt idx="5">
                  <c:v>-1974.6221410000001</c:v>
                </c:pt>
                <c:pt idx="6">
                  <c:v>-3684.4672150000001</c:v>
                </c:pt>
                <c:pt idx="7">
                  <c:v>-2785.185105</c:v>
                </c:pt>
                <c:pt idx="8">
                  <c:v>-1917.4467360000001</c:v>
                </c:pt>
                <c:pt idx="9">
                  <c:v>-1699.2559249999999</c:v>
                </c:pt>
                <c:pt idx="10">
                  <c:v>-1352.9820709999999</c:v>
                </c:pt>
                <c:pt idx="11">
                  <c:v>-1837.8732230000001</c:v>
                </c:pt>
                <c:pt idx="12">
                  <c:v>-2105.2188679999999</c:v>
                </c:pt>
                <c:pt idx="13">
                  <c:v>-1967.1971699999999</c:v>
                </c:pt>
                <c:pt idx="14">
                  <c:v>-2318.0735410000002</c:v>
                </c:pt>
                <c:pt idx="15">
                  <c:v>-2765.2802750000001</c:v>
                </c:pt>
                <c:pt idx="16">
                  <c:v>-3064.9152220000001</c:v>
                </c:pt>
                <c:pt idx="17">
                  <c:v>-3631.821328</c:v>
                </c:pt>
                <c:pt idx="18">
                  <c:v>-4007.6605669999999</c:v>
                </c:pt>
                <c:pt idx="19">
                  <c:v>-4128.0566980000003</c:v>
                </c:pt>
              </c:numCache>
            </c:numRef>
          </c:val>
          <c:extLst>
            <c:ext xmlns:c16="http://schemas.microsoft.com/office/drawing/2014/chart" uri="{C3380CC4-5D6E-409C-BE32-E72D297353CC}">
              <c16:uniqueId val="{00000000-795F-A640-8099-E5326A1F6AB1}"/>
            </c:ext>
          </c:extLst>
        </c:ser>
        <c:ser>
          <c:idx val="1"/>
          <c:order val="1"/>
          <c:tx>
            <c:strRef>
              <c:f>'Cuenta Corriente'!$D$1</c:f>
              <c:strCache>
                <c:ptCount val="1"/>
                <c:pt idx="0">
                  <c:v> Servicios</c:v>
                </c:pt>
              </c:strCache>
            </c:strRef>
          </c:tx>
          <c:spPr>
            <a:solidFill>
              <a:schemeClr val="accent4"/>
            </a:solidFill>
            <a:ln>
              <a:noFill/>
            </a:ln>
            <a:effectLst/>
          </c:spPr>
          <c:invertIfNegative val="0"/>
          <c:cat>
            <c:multiLvlStrRef>
              <c:f>'Cuenta Corriente'!$A$2:$B$21</c:f>
              <c:multiLvlStrCache>
                <c:ptCount val="20"/>
                <c:lvl>
                  <c:pt idx="0">
                    <c:v>I</c:v>
                  </c:pt>
                  <c:pt idx="1">
                    <c:v>II</c:v>
                  </c:pt>
                  <c:pt idx="2">
                    <c:v>III</c:v>
                  </c:pt>
                  <c:pt idx="3">
                    <c:v>IV</c:v>
                  </c:pt>
                  <c:pt idx="4">
                    <c:v>I</c:v>
                  </c:pt>
                  <c:pt idx="5">
                    <c:v>II</c:v>
                  </c:pt>
                  <c:pt idx="6">
                    <c:v>III</c:v>
                  </c:pt>
                  <c:pt idx="7">
                    <c:v>IV</c:v>
                  </c:pt>
                  <c:pt idx="8">
                    <c:v>I</c:v>
                  </c:pt>
                  <c:pt idx="9">
                    <c:v>II</c:v>
                  </c:pt>
                  <c:pt idx="10">
                    <c:v>III</c:v>
                  </c:pt>
                  <c:pt idx="11">
                    <c:v>IV</c:v>
                  </c:pt>
                  <c:pt idx="12">
                    <c:v>I</c:v>
                  </c:pt>
                  <c:pt idx="13">
                    <c:v>II</c:v>
                  </c:pt>
                  <c:pt idx="14">
                    <c:v>III</c:v>
                  </c:pt>
                  <c:pt idx="15">
                    <c:v>IV</c:v>
                  </c:pt>
                  <c:pt idx="16">
                    <c:v>I</c:v>
                  </c:pt>
                  <c:pt idx="17">
                    <c:v>II</c:v>
                  </c:pt>
                  <c:pt idx="18">
                    <c:v>III</c:v>
                  </c:pt>
                  <c:pt idx="19">
                    <c:v>IV</c:v>
                  </c:pt>
                </c:lvl>
                <c:lvl>
                  <c:pt idx="0">
                    <c:v>2021</c:v>
                  </c:pt>
                  <c:pt idx="4">
                    <c:v>2022</c:v>
                  </c:pt>
                  <c:pt idx="8">
                    <c:v>2023</c:v>
                  </c:pt>
                  <c:pt idx="12">
                    <c:v>2024</c:v>
                  </c:pt>
                  <c:pt idx="16">
                    <c:v>2025</c:v>
                  </c:pt>
                </c:lvl>
              </c:multiLvlStrCache>
            </c:multiLvlStrRef>
          </c:cat>
          <c:val>
            <c:numRef>
              <c:f>'Cuenta Corriente'!$D$2:$D$21</c:f>
              <c:numCache>
                <c:formatCode>#,##0.00_);\(#,##0.00\)</c:formatCode>
                <c:ptCount val="20"/>
                <c:pt idx="0">
                  <c:v>-1100.5483449999999</c:v>
                </c:pt>
                <c:pt idx="1">
                  <c:v>-1473.5711200000001</c:v>
                </c:pt>
                <c:pt idx="2">
                  <c:v>-1566.1433119999999</c:v>
                </c:pt>
                <c:pt idx="3">
                  <c:v>-1876.7750920000001</c:v>
                </c:pt>
                <c:pt idx="4">
                  <c:v>-1223.5550430000001</c:v>
                </c:pt>
                <c:pt idx="5">
                  <c:v>-1071.565873</c:v>
                </c:pt>
                <c:pt idx="6">
                  <c:v>-731.68314559999999</c:v>
                </c:pt>
                <c:pt idx="7">
                  <c:v>-888.15881769999999</c:v>
                </c:pt>
                <c:pt idx="8">
                  <c:v>-259.5230947</c:v>
                </c:pt>
                <c:pt idx="9">
                  <c:v>-357.3271838</c:v>
                </c:pt>
                <c:pt idx="10">
                  <c:v>-51.011978579999997</c:v>
                </c:pt>
                <c:pt idx="11">
                  <c:v>-327.78344070000003</c:v>
                </c:pt>
                <c:pt idx="12">
                  <c:v>323.88717442000001</c:v>
                </c:pt>
                <c:pt idx="13">
                  <c:v>-392.33652549999999</c:v>
                </c:pt>
                <c:pt idx="14">
                  <c:v>-62.100234839999999</c:v>
                </c:pt>
                <c:pt idx="15">
                  <c:v>-396.17023349999999</c:v>
                </c:pt>
                <c:pt idx="16">
                  <c:v>515.60939867000002</c:v>
                </c:pt>
                <c:pt idx="17">
                  <c:v>-196.4203689</c:v>
                </c:pt>
                <c:pt idx="18">
                  <c:v>-29.361022899999998</c:v>
                </c:pt>
                <c:pt idx="19">
                  <c:v>-328.84666099999998</c:v>
                </c:pt>
              </c:numCache>
            </c:numRef>
          </c:val>
          <c:extLst>
            <c:ext xmlns:c16="http://schemas.microsoft.com/office/drawing/2014/chart" uri="{C3380CC4-5D6E-409C-BE32-E72D297353CC}">
              <c16:uniqueId val="{00000001-795F-A640-8099-E5326A1F6AB1}"/>
            </c:ext>
          </c:extLst>
        </c:ser>
        <c:ser>
          <c:idx val="2"/>
          <c:order val="2"/>
          <c:tx>
            <c:strRef>
              <c:f>'Cuenta Corriente'!$E$1</c:f>
              <c:strCache>
                <c:ptCount val="1"/>
                <c:pt idx="0">
                  <c:v>Ingreso primario (Renta factorial)</c:v>
                </c:pt>
              </c:strCache>
            </c:strRef>
          </c:tx>
          <c:spPr>
            <a:solidFill>
              <a:schemeClr val="accent6"/>
            </a:solidFill>
            <a:ln>
              <a:noFill/>
            </a:ln>
            <a:effectLst/>
          </c:spPr>
          <c:invertIfNegative val="0"/>
          <c:cat>
            <c:multiLvlStrRef>
              <c:f>'Cuenta Corriente'!$A$2:$B$21</c:f>
              <c:multiLvlStrCache>
                <c:ptCount val="20"/>
                <c:lvl>
                  <c:pt idx="0">
                    <c:v>I</c:v>
                  </c:pt>
                  <c:pt idx="1">
                    <c:v>II</c:v>
                  </c:pt>
                  <c:pt idx="2">
                    <c:v>III</c:v>
                  </c:pt>
                  <c:pt idx="3">
                    <c:v>IV</c:v>
                  </c:pt>
                  <c:pt idx="4">
                    <c:v>I</c:v>
                  </c:pt>
                  <c:pt idx="5">
                    <c:v>II</c:v>
                  </c:pt>
                  <c:pt idx="6">
                    <c:v>III</c:v>
                  </c:pt>
                  <c:pt idx="7">
                    <c:v>IV</c:v>
                  </c:pt>
                  <c:pt idx="8">
                    <c:v>I</c:v>
                  </c:pt>
                  <c:pt idx="9">
                    <c:v>II</c:v>
                  </c:pt>
                  <c:pt idx="10">
                    <c:v>III</c:v>
                  </c:pt>
                  <c:pt idx="11">
                    <c:v>IV</c:v>
                  </c:pt>
                  <c:pt idx="12">
                    <c:v>I</c:v>
                  </c:pt>
                  <c:pt idx="13">
                    <c:v>II</c:v>
                  </c:pt>
                  <c:pt idx="14">
                    <c:v>III</c:v>
                  </c:pt>
                  <c:pt idx="15">
                    <c:v>IV</c:v>
                  </c:pt>
                  <c:pt idx="16">
                    <c:v>I</c:v>
                  </c:pt>
                  <c:pt idx="17">
                    <c:v>II</c:v>
                  </c:pt>
                  <c:pt idx="18">
                    <c:v>III</c:v>
                  </c:pt>
                  <c:pt idx="19">
                    <c:v>IV</c:v>
                  </c:pt>
                </c:lvl>
                <c:lvl>
                  <c:pt idx="0">
                    <c:v>2021</c:v>
                  </c:pt>
                  <c:pt idx="4">
                    <c:v>2022</c:v>
                  </c:pt>
                  <c:pt idx="8">
                    <c:v>2023</c:v>
                  </c:pt>
                  <c:pt idx="12">
                    <c:v>2024</c:v>
                  </c:pt>
                  <c:pt idx="16">
                    <c:v>2025</c:v>
                  </c:pt>
                </c:lvl>
              </c:multiLvlStrCache>
            </c:multiLvlStrRef>
          </c:cat>
          <c:val>
            <c:numRef>
              <c:f>'Cuenta Corriente'!$E$2:$E$21</c:f>
              <c:numCache>
                <c:formatCode>#,##0.00_);\(#,##0.00\)</c:formatCode>
                <c:ptCount val="20"/>
                <c:pt idx="0">
                  <c:v>-1867.196958</c:v>
                </c:pt>
                <c:pt idx="1">
                  <c:v>-1652.067106</c:v>
                </c:pt>
                <c:pt idx="2">
                  <c:v>-2339.0876250000001</c:v>
                </c:pt>
                <c:pt idx="3">
                  <c:v>-2864.9071920000001</c:v>
                </c:pt>
                <c:pt idx="4">
                  <c:v>-3616.8406690000002</c:v>
                </c:pt>
                <c:pt idx="5">
                  <c:v>-4530.5394310000001</c:v>
                </c:pt>
                <c:pt idx="6">
                  <c:v>-4794.7434119999998</c:v>
                </c:pt>
                <c:pt idx="7">
                  <c:v>-4144.2064620000001</c:v>
                </c:pt>
                <c:pt idx="8">
                  <c:v>-3727.0918120000001</c:v>
                </c:pt>
                <c:pt idx="9">
                  <c:v>-3056.0840710000002</c:v>
                </c:pt>
                <c:pt idx="10">
                  <c:v>-3507.7165030000001</c:v>
                </c:pt>
                <c:pt idx="11">
                  <c:v>-3147.8981239999998</c:v>
                </c:pt>
                <c:pt idx="12">
                  <c:v>-3151.9959229999999</c:v>
                </c:pt>
                <c:pt idx="13">
                  <c:v>-2964.9696439999998</c:v>
                </c:pt>
                <c:pt idx="14">
                  <c:v>-3342.6929150000001</c:v>
                </c:pt>
                <c:pt idx="15">
                  <c:v>-3377.3624690000001</c:v>
                </c:pt>
                <c:pt idx="16">
                  <c:v>-2992.860228</c:v>
                </c:pt>
                <c:pt idx="17">
                  <c:v>-2780.297329</c:v>
                </c:pt>
                <c:pt idx="18">
                  <c:v>-2993.1170579999998</c:v>
                </c:pt>
                <c:pt idx="19">
                  <c:v>-3679.6806489999999</c:v>
                </c:pt>
              </c:numCache>
            </c:numRef>
          </c:val>
          <c:extLst>
            <c:ext xmlns:c16="http://schemas.microsoft.com/office/drawing/2014/chart" uri="{C3380CC4-5D6E-409C-BE32-E72D297353CC}">
              <c16:uniqueId val="{00000002-795F-A640-8099-E5326A1F6AB1}"/>
            </c:ext>
          </c:extLst>
        </c:ser>
        <c:ser>
          <c:idx val="3"/>
          <c:order val="4"/>
          <c:tx>
            <c:strRef>
              <c:f>'Cuenta Corriente'!$F$1</c:f>
              <c:strCache>
                <c:ptCount val="1"/>
                <c:pt idx="0">
                  <c:v>Ingreso secundario (Transferencias corrientes)</c:v>
                </c:pt>
              </c:strCache>
            </c:strRef>
          </c:tx>
          <c:spPr>
            <a:solidFill>
              <a:schemeClr val="accent2">
                <a:lumMod val="60000"/>
              </a:schemeClr>
            </a:solidFill>
            <a:ln>
              <a:noFill/>
            </a:ln>
            <a:effectLst/>
          </c:spPr>
          <c:invertIfNegative val="0"/>
          <c:cat>
            <c:multiLvlStrRef>
              <c:f>'Cuenta Corriente'!$A$2:$B$21</c:f>
              <c:multiLvlStrCache>
                <c:ptCount val="20"/>
                <c:lvl>
                  <c:pt idx="0">
                    <c:v>I</c:v>
                  </c:pt>
                  <c:pt idx="1">
                    <c:v>II</c:v>
                  </c:pt>
                  <c:pt idx="2">
                    <c:v>III</c:v>
                  </c:pt>
                  <c:pt idx="3">
                    <c:v>IV</c:v>
                  </c:pt>
                  <c:pt idx="4">
                    <c:v>I</c:v>
                  </c:pt>
                  <c:pt idx="5">
                    <c:v>II</c:v>
                  </c:pt>
                  <c:pt idx="6">
                    <c:v>III</c:v>
                  </c:pt>
                  <c:pt idx="7">
                    <c:v>IV</c:v>
                  </c:pt>
                  <c:pt idx="8">
                    <c:v>I</c:v>
                  </c:pt>
                  <c:pt idx="9">
                    <c:v>II</c:v>
                  </c:pt>
                  <c:pt idx="10">
                    <c:v>III</c:v>
                  </c:pt>
                  <c:pt idx="11">
                    <c:v>IV</c:v>
                  </c:pt>
                  <c:pt idx="12">
                    <c:v>I</c:v>
                  </c:pt>
                  <c:pt idx="13">
                    <c:v>II</c:v>
                  </c:pt>
                  <c:pt idx="14">
                    <c:v>III</c:v>
                  </c:pt>
                  <c:pt idx="15">
                    <c:v>IV</c:v>
                  </c:pt>
                  <c:pt idx="16">
                    <c:v>I</c:v>
                  </c:pt>
                  <c:pt idx="17">
                    <c:v>II</c:v>
                  </c:pt>
                  <c:pt idx="18">
                    <c:v>III</c:v>
                  </c:pt>
                  <c:pt idx="19">
                    <c:v>IV</c:v>
                  </c:pt>
                </c:lvl>
                <c:lvl>
                  <c:pt idx="0">
                    <c:v>2021</c:v>
                  </c:pt>
                  <c:pt idx="4">
                    <c:v>2022</c:v>
                  </c:pt>
                  <c:pt idx="8">
                    <c:v>2023</c:v>
                  </c:pt>
                  <c:pt idx="12">
                    <c:v>2024</c:v>
                  </c:pt>
                  <c:pt idx="16">
                    <c:v>2025</c:v>
                  </c:pt>
                </c:lvl>
              </c:multiLvlStrCache>
            </c:multiLvlStrRef>
          </c:cat>
          <c:val>
            <c:numRef>
              <c:f>'Cuenta Corriente'!$F$2:$F$21</c:f>
              <c:numCache>
                <c:formatCode>#,##0.00_);\(#,##0.00\)</c:formatCode>
                <c:ptCount val="20"/>
                <c:pt idx="0">
                  <c:v>2450.1725879999999</c:v>
                </c:pt>
                <c:pt idx="1">
                  <c:v>2626.5442598999998</c:v>
                </c:pt>
                <c:pt idx="2">
                  <c:v>2762.9165349999998</c:v>
                </c:pt>
                <c:pt idx="3">
                  <c:v>2934.9017116999999</c:v>
                </c:pt>
                <c:pt idx="4">
                  <c:v>3176.4941878999998</c:v>
                </c:pt>
                <c:pt idx="5">
                  <c:v>2828.6900346000002</c:v>
                </c:pt>
                <c:pt idx="6">
                  <c:v>3103.6650636999998</c:v>
                </c:pt>
                <c:pt idx="7">
                  <c:v>3192.6166724999998</c:v>
                </c:pt>
                <c:pt idx="8">
                  <c:v>3094.4083856000002</c:v>
                </c:pt>
                <c:pt idx="9">
                  <c:v>3029.1708956000002</c:v>
                </c:pt>
                <c:pt idx="10">
                  <c:v>3364.7879063</c:v>
                </c:pt>
                <c:pt idx="11">
                  <c:v>3433.6791029999999</c:v>
                </c:pt>
                <c:pt idx="12">
                  <c:v>3331.0706616000002</c:v>
                </c:pt>
                <c:pt idx="13">
                  <c:v>3896.7697896999998</c:v>
                </c:pt>
                <c:pt idx="14">
                  <c:v>4073.2696314999998</c:v>
                </c:pt>
                <c:pt idx="15">
                  <c:v>4206.0449349</c:v>
                </c:pt>
                <c:pt idx="16">
                  <c:v>3846.2213740000002</c:v>
                </c:pt>
                <c:pt idx="17">
                  <c:v>4150.9926160000005</c:v>
                </c:pt>
                <c:pt idx="18">
                  <c:v>4212.9061881999996</c:v>
                </c:pt>
                <c:pt idx="19">
                  <c:v>4224.4137560999998</c:v>
                </c:pt>
              </c:numCache>
            </c:numRef>
          </c:val>
          <c:extLst>
            <c:ext xmlns:c16="http://schemas.microsoft.com/office/drawing/2014/chart" uri="{C3380CC4-5D6E-409C-BE32-E72D297353CC}">
              <c16:uniqueId val="{00000003-795F-A640-8099-E5326A1F6AB1}"/>
            </c:ext>
          </c:extLst>
        </c:ser>
        <c:dLbls>
          <c:showLegendKey val="0"/>
          <c:showVal val="0"/>
          <c:showCatName val="0"/>
          <c:showSerName val="0"/>
          <c:showPercent val="0"/>
          <c:showBubbleSize val="0"/>
        </c:dLbls>
        <c:gapWidth val="150"/>
        <c:overlap val="100"/>
        <c:axId val="782116080"/>
        <c:axId val="564119840"/>
      </c:barChart>
      <c:lineChart>
        <c:grouping val="standard"/>
        <c:varyColors val="0"/>
        <c:ser>
          <c:idx val="5"/>
          <c:order val="3"/>
          <c:tx>
            <c:strRef>
              <c:f>'Cuenta Corriente'!$I$1</c:f>
              <c:strCache>
                <c:ptCount val="1"/>
                <c:pt idx="0">
                  <c:v>Cuenta corriente (% PIB)</c:v>
                </c:pt>
              </c:strCache>
            </c:strRef>
          </c:tx>
          <c:spPr>
            <a:ln w="28575" cap="rnd">
              <a:solidFill>
                <a:schemeClr val="accent6">
                  <a:lumMod val="60000"/>
                </a:schemeClr>
              </a:solidFill>
              <a:round/>
            </a:ln>
            <a:effectLst/>
          </c:spPr>
          <c:marker>
            <c:symbol val="none"/>
          </c:marker>
          <c:val>
            <c:numRef>
              <c:f>'Cuenta Corriente'!$I$2:$I$21</c:f>
              <c:numCache>
                <c:formatCode>0.0%</c:formatCode>
                <c:ptCount val="20"/>
                <c:pt idx="0">
                  <c:v>-4.0320974635455552E-2</c:v>
                </c:pt>
                <c:pt idx="1">
                  <c:v>-5.4852519013651409E-2</c:v>
                </c:pt>
                <c:pt idx="2">
                  <c:v>-6.0199958973326334E-2</c:v>
                </c:pt>
                <c:pt idx="3">
                  <c:v>-6.858941397458243E-2</c:v>
                </c:pt>
                <c:pt idx="4">
                  <c:v>-6.2658315577378568E-2</c:v>
                </c:pt>
                <c:pt idx="5">
                  <c:v>-5.2502817292979342E-2</c:v>
                </c:pt>
                <c:pt idx="6">
                  <c:v>-6.9506973307517497E-2</c:v>
                </c:pt>
                <c:pt idx="7">
                  <c:v>-5.6392743719742434E-2</c:v>
                </c:pt>
                <c:pt idx="8">
                  <c:v>-3.4598815214651898E-2</c:v>
                </c:pt>
                <c:pt idx="9">
                  <c:v>-2.4105215506980658E-2</c:v>
                </c:pt>
                <c:pt idx="10">
                  <c:v>-1.557578837433945E-2</c:v>
                </c:pt>
                <c:pt idx="11">
                  <c:v>-1.838914074711533E-2</c:v>
                </c:pt>
                <c:pt idx="12">
                  <c:v>-1.5602056400260458E-2</c:v>
                </c:pt>
                <c:pt idx="13">
                  <c:v>-1.3663616488026178E-2</c:v>
                </c:pt>
                <c:pt idx="14">
                  <c:v>-1.5471688962828776E-2</c:v>
                </c:pt>
                <c:pt idx="15">
                  <c:v>-2.1907729071475673E-2</c:v>
                </c:pt>
                <c:pt idx="16">
                  <c:v>-1.5984262690333047E-2</c:v>
                </c:pt>
                <c:pt idx="17">
                  <c:v>-2.3334919305745952E-2</c:v>
                </c:pt>
                <c:pt idx="18">
                  <c:v>-2.3637414959477455E-2</c:v>
                </c:pt>
                <c:pt idx="19">
                  <c:v>-3.0501167252304114E-2</c:v>
                </c:pt>
              </c:numCache>
            </c:numRef>
          </c:val>
          <c:smooth val="0"/>
          <c:extLst>
            <c:ext xmlns:c16="http://schemas.microsoft.com/office/drawing/2014/chart" uri="{C3380CC4-5D6E-409C-BE32-E72D297353CC}">
              <c16:uniqueId val="{00000004-795F-A640-8099-E5326A1F6AB1}"/>
            </c:ext>
          </c:extLst>
        </c:ser>
        <c:dLbls>
          <c:showLegendKey val="0"/>
          <c:showVal val="0"/>
          <c:showCatName val="0"/>
          <c:showSerName val="0"/>
          <c:showPercent val="0"/>
          <c:showBubbleSize val="0"/>
        </c:dLbls>
        <c:marker val="1"/>
        <c:smooth val="0"/>
        <c:axId val="1152058367"/>
        <c:axId val="1692319135"/>
      </c:lineChart>
      <c:catAx>
        <c:axId val="782116080"/>
        <c:scaling>
          <c:orientation val="minMax"/>
        </c:scaling>
        <c:delete val="0"/>
        <c:axPos val="b"/>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64119840"/>
        <c:crosses val="autoZero"/>
        <c:auto val="1"/>
        <c:lblAlgn val="ctr"/>
        <c:lblOffset val="100"/>
        <c:noMultiLvlLbl val="0"/>
      </c:catAx>
      <c:valAx>
        <c:axId val="564119840"/>
        <c:scaling>
          <c:orientation val="minMax"/>
          <c:max val="5000"/>
        </c:scaling>
        <c:delete val="0"/>
        <c:axPos val="l"/>
        <c:numFmt formatCode="General"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82116080"/>
        <c:crosses val="autoZero"/>
        <c:crossBetween val="between"/>
      </c:valAx>
      <c:valAx>
        <c:axId val="1692319135"/>
        <c:scaling>
          <c:orientation val="minMax"/>
          <c:max val="4.4000000000000011E-2"/>
          <c:min val="-8.0000000000000016E-2"/>
        </c:scaling>
        <c:delete val="0"/>
        <c:axPos val="r"/>
        <c:numFmt formatCode="0%" sourceLinked="0"/>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52058367"/>
        <c:crosses val="max"/>
        <c:crossBetween val="between"/>
      </c:valAx>
      <c:catAx>
        <c:axId val="1152058367"/>
        <c:scaling>
          <c:orientation val="minMax"/>
        </c:scaling>
        <c:delete val="1"/>
        <c:axPos val="b"/>
        <c:numFmt formatCode="General" sourceLinked="1"/>
        <c:majorTickMark val="out"/>
        <c:minorTickMark val="none"/>
        <c:tickLblPos val="nextTo"/>
        <c:crossAx val="1692319135"/>
        <c:crossesAt val="0"/>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'Exportaciones tradicionales'!$AA$8</c:f>
              <c:strCache>
                <c:ptCount val="1"/>
                <c:pt idx="0">
                  <c:v> Café </c:v>
                </c:pt>
              </c:strCache>
            </c:strRef>
          </c:tx>
          <c:spPr>
            <a:ln w="28575" cap="rnd">
              <a:solidFill>
                <a:schemeClr val="accent1"/>
              </a:solidFill>
              <a:round/>
            </a:ln>
            <a:effectLst/>
          </c:spPr>
          <c:marker>
            <c:symbol val="none"/>
          </c:marker>
          <c:cat>
            <c:numRef>
              <c:f>'Exportaciones tradicionales'!$Z$9:$Z$70</c:f>
              <c:numCache>
                <c:formatCode>mmm\-yy</c:formatCode>
                <c:ptCount val="62"/>
                <c:pt idx="0">
                  <c:v>44197</c:v>
                </c:pt>
                <c:pt idx="1">
                  <c:v>44228</c:v>
                </c:pt>
                <c:pt idx="2">
                  <c:v>44256</c:v>
                </c:pt>
                <c:pt idx="3">
                  <c:v>44287</c:v>
                </c:pt>
                <c:pt idx="4">
                  <c:v>44317</c:v>
                </c:pt>
                <c:pt idx="5">
                  <c:v>44348</c:v>
                </c:pt>
                <c:pt idx="6">
                  <c:v>44378</c:v>
                </c:pt>
                <c:pt idx="7">
                  <c:v>44409</c:v>
                </c:pt>
                <c:pt idx="8">
                  <c:v>44440</c:v>
                </c:pt>
                <c:pt idx="9">
                  <c:v>44470</c:v>
                </c:pt>
                <c:pt idx="10">
                  <c:v>44501</c:v>
                </c:pt>
                <c:pt idx="11">
                  <c:v>44531</c:v>
                </c:pt>
                <c:pt idx="12">
                  <c:v>44562</c:v>
                </c:pt>
                <c:pt idx="13">
                  <c:v>44593</c:v>
                </c:pt>
                <c:pt idx="14">
                  <c:v>44621</c:v>
                </c:pt>
                <c:pt idx="15">
                  <c:v>44652</c:v>
                </c:pt>
                <c:pt idx="16">
                  <c:v>44682</c:v>
                </c:pt>
                <c:pt idx="17">
                  <c:v>44713</c:v>
                </c:pt>
                <c:pt idx="18">
                  <c:v>44743</c:v>
                </c:pt>
                <c:pt idx="19">
                  <c:v>44774</c:v>
                </c:pt>
                <c:pt idx="20">
                  <c:v>44805</c:v>
                </c:pt>
                <c:pt idx="21">
                  <c:v>44835</c:v>
                </c:pt>
                <c:pt idx="22">
                  <c:v>44866</c:v>
                </c:pt>
                <c:pt idx="23">
                  <c:v>44896</c:v>
                </c:pt>
                <c:pt idx="24">
                  <c:v>44927</c:v>
                </c:pt>
                <c:pt idx="25">
                  <c:v>44958</c:v>
                </c:pt>
                <c:pt idx="26">
                  <c:v>44986</c:v>
                </c:pt>
                <c:pt idx="27">
                  <c:v>45017</c:v>
                </c:pt>
                <c:pt idx="28">
                  <c:v>45047</c:v>
                </c:pt>
                <c:pt idx="29">
                  <c:v>45078</c:v>
                </c:pt>
                <c:pt idx="30">
                  <c:v>45108</c:v>
                </c:pt>
                <c:pt idx="31">
                  <c:v>45139</c:v>
                </c:pt>
                <c:pt idx="32">
                  <c:v>45170</c:v>
                </c:pt>
                <c:pt idx="33">
                  <c:v>45200</c:v>
                </c:pt>
                <c:pt idx="34">
                  <c:v>45231</c:v>
                </c:pt>
                <c:pt idx="35">
                  <c:v>45261</c:v>
                </c:pt>
                <c:pt idx="36">
                  <c:v>45292</c:v>
                </c:pt>
                <c:pt idx="37">
                  <c:v>45323</c:v>
                </c:pt>
                <c:pt idx="38">
                  <c:v>45352</c:v>
                </c:pt>
                <c:pt idx="39">
                  <c:v>45383</c:v>
                </c:pt>
                <c:pt idx="40">
                  <c:v>45413</c:v>
                </c:pt>
                <c:pt idx="41">
                  <c:v>45444</c:v>
                </c:pt>
                <c:pt idx="42">
                  <c:v>45474</c:v>
                </c:pt>
                <c:pt idx="43">
                  <c:v>45505</c:v>
                </c:pt>
                <c:pt idx="44">
                  <c:v>45536</c:v>
                </c:pt>
                <c:pt idx="45">
                  <c:v>45566</c:v>
                </c:pt>
                <c:pt idx="46">
                  <c:v>45597</c:v>
                </c:pt>
                <c:pt idx="47">
                  <c:v>45627</c:v>
                </c:pt>
                <c:pt idx="48">
                  <c:v>45658</c:v>
                </c:pt>
                <c:pt idx="49">
                  <c:v>45689</c:v>
                </c:pt>
                <c:pt idx="50">
                  <c:v>45717</c:v>
                </c:pt>
                <c:pt idx="51">
                  <c:v>45748</c:v>
                </c:pt>
                <c:pt idx="52">
                  <c:v>45778</c:v>
                </c:pt>
                <c:pt idx="53">
                  <c:v>45809</c:v>
                </c:pt>
                <c:pt idx="54">
                  <c:v>45839</c:v>
                </c:pt>
                <c:pt idx="55">
                  <c:v>45870</c:v>
                </c:pt>
                <c:pt idx="56">
                  <c:v>45901</c:v>
                </c:pt>
                <c:pt idx="57">
                  <c:v>45931</c:v>
                </c:pt>
                <c:pt idx="58">
                  <c:v>45962</c:v>
                </c:pt>
                <c:pt idx="59">
                  <c:v>45992</c:v>
                </c:pt>
                <c:pt idx="60">
                  <c:v>46023</c:v>
                </c:pt>
                <c:pt idx="61">
                  <c:v>46054</c:v>
                </c:pt>
              </c:numCache>
            </c:numRef>
          </c:cat>
          <c:val>
            <c:numRef>
              <c:f>'Exportaciones tradicionales'!$AA$9:$AA$70</c:f>
              <c:numCache>
                <c:formatCode>0.000%</c:formatCode>
                <c:ptCount val="62"/>
                <c:pt idx="0">
                  <c:v>9.4981275123963121E-2</c:v>
                </c:pt>
                <c:pt idx="1">
                  <c:v>8.840524895298861E-2</c:v>
                </c:pt>
                <c:pt idx="2">
                  <c:v>7.8867676908979945E-2</c:v>
                </c:pt>
                <c:pt idx="3">
                  <c:v>7.8788673469569359E-2</c:v>
                </c:pt>
                <c:pt idx="4">
                  <c:v>3.7686331108573737E-2</c:v>
                </c:pt>
                <c:pt idx="5">
                  <c:v>3.3776626549644799E-2</c:v>
                </c:pt>
                <c:pt idx="6">
                  <c:v>8.6934269791156579E-2</c:v>
                </c:pt>
                <c:pt idx="7">
                  <c:v>9.0951294502212204E-2</c:v>
                </c:pt>
                <c:pt idx="8">
                  <c:v>6.7621503236221389E-2</c:v>
                </c:pt>
                <c:pt idx="9">
                  <c:v>8.3801003500881266E-2</c:v>
                </c:pt>
                <c:pt idx="10">
                  <c:v>7.3623224593355283E-2</c:v>
                </c:pt>
                <c:pt idx="11">
                  <c:v>7.9904054787029638E-2</c:v>
                </c:pt>
                <c:pt idx="12">
                  <c:v>8.4428282927376461E-2</c:v>
                </c:pt>
                <c:pt idx="13">
                  <c:v>8.7981288223573387E-2</c:v>
                </c:pt>
                <c:pt idx="14">
                  <c:v>8.3494052585948372E-2</c:v>
                </c:pt>
                <c:pt idx="15">
                  <c:v>5.7721626636011061E-2</c:v>
                </c:pt>
                <c:pt idx="16">
                  <c:v>5.6367790620845203E-2</c:v>
                </c:pt>
                <c:pt idx="17">
                  <c:v>6.4119453960935838E-2</c:v>
                </c:pt>
                <c:pt idx="18">
                  <c:v>6.4112857833887801E-2</c:v>
                </c:pt>
                <c:pt idx="19">
                  <c:v>7.0266175716864027E-2</c:v>
                </c:pt>
                <c:pt idx="20">
                  <c:v>6.7792416752663606E-2</c:v>
                </c:pt>
                <c:pt idx="21">
                  <c:v>7.4058450442735027E-2</c:v>
                </c:pt>
                <c:pt idx="22">
                  <c:v>6.1637437273809499E-2</c:v>
                </c:pt>
                <c:pt idx="23">
                  <c:v>7.2531761805498432E-2</c:v>
                </c:pt>
                <c:pt idx="24">
                  <c:v>6.4649607886323429E-2</c:v>
                </c:pt>
                <c:pt idx="25">
                  <c:v>5.9005494634767883E-2</c:v>
                </c:pt>
                <c:pt idx="26">
                  <c:v>6.2540722332260379E-2</c:v>
                </c:pt>
                <c:pt idx="27">
                  <c:v>5.4415579331686628E-2</c:v>
                </c:pt>
                <c:pt idx="28">
                  <c:v>5.3792675334004572E-2</c:v>
                </c:pt>
                <c:pt idx="29">
                  <c:v>5.2686416630076317E-2</c:v>
                </c:pt>
                <c:pt idx="30">
                  <c:v>5.1892547367790288E-2</c:v>
                </c:pt>
                <c:pt idx="31">
                  <c:v>5.4394503216181306E-2</c:v>
                </c:pt>
                <c:pt idx="32">
                  <c:v>5.3244790664862068E-2</c:v>
                </c:pt>
                <c:pt idx="33">
                  <c:v>4.2715741593138436E-2</c:v>
                </c:pt>
                <c:pt idx="34">
                  <c:v>5.7168712582811691E-2</c:v>
                </c:pt>
                <c:pt idx="35">
                  <c:v>6.6119129718266098E-2</c:v>
                </c:pt>
                <c:pt idx="36">
                  <c:v>6.1250420497918311E-2</c:v>
                </c:pt>
                <c:pt idx="37">
                  <c:v>6.4761988076921295E-2</c:v>
                </c:pt>
                <c:pt idx="38">
                  <c:v>5.7993452005784665E-2</c:v>
                </c:pt>
                <c:pt idx="39">
                  <c:v>5.6437720615515545E-2</c:v>
                </c:pt>
                <c:pt idx="40">
                  <c:v>5.6649346414508257E-2</c:v>
                </c:pt>
                <c:pt idx="41">
                  <c:v>7.0348029304823534E-2</c:v>
                </c:pt>
                <c:pt idx="42">
                  <c:v>5.9317614814255508E-2</c:v>
                </c:pt>
                <c:pt idx="43">
                  <c:v>7.9362916786141047E-2</c:v>
                </c:pt>
                <c:pt idx="44">
                  <c:v>6.4664512175077113E-2</c:v>
                </c:pt>
                <c:pt idx="45">
                  <c:v>7.4943681614782209E-2</c:v>
                </c:pt>
                <c:pt idx="46">
                  <c:v>7.5863364201428404E-2</c:v>
                </c:pt>
                <c:pt idx="47">
                  <c:v>9.9108178596593793E-2</c:v>
                </c:pt>
                <c:pt idx="48">
                  <c:v>0.12247147562984648</c:v>
                </c:pt>
                <c:pt idx="49">
                  <c:v>0.11157952044767858</c:v>
                </c:pt>
                <c:pt idx="50">
                  <c:v>0.12112037275481281</c:v>
                </c:pt>
                <c:pt idx="51">
                  <c:v>0.11283039615458429</c:v>
                </c:pt>
                <c:pt idx="52">
                  <c:v>9.3157857636082919E-2</c:v>
                </c:pt>
                <c:pt idx="53">
                  <c:v>0.10042085124118173</c:v>
                </c:pt>
                <c:pt idx="54">
                  <c:v>0.10539533818440124</c:v>
                </c:pt>
                <c:pt idx="55">
                  <c:v>0.13506021325766096</c:v>
                </c:pt>
                <c:pt idx="56">
                  <c:v>0.10645539329851733</c:v>
                </c:pt>
                <c:pt idx="57">
                  <c:v>0.12420862376208559</c:v>
                </c:pt>
                <c:pt idx="58">
                  <c:v>0.14383883761238014</c:v>
                </c:pt>
                <c:pt idx="59">
                  <c:v>0.11143051956473696</c:v>
                </c:pt>
                <c:pt idx="60">
                  <c:v>0.14498953704838483</c:v>
                </c:pt>
                <c:pt idx="61">
                  <c:v>9.5871800752585751E-2</c:v>
                </c:pt>
              </c:numCache>
            </c:numRef>
          </c:val>
          <c:smooth val="0"/>
          <c:extLst>
            <c:ext xmlns:c16="http://schemas.microsoft.com/office/drawing/2014/chart" uri="{C3380CC4-5D6E-409C-BE32-E72D297353CC}">
              <c16:uniqueId val="{00000000-C2E2-3E4A-933D-94C575B6EAA8}"/>
            </c:ext>
          </c:extLst>
        </c:ser>
        <c:ser>
          <c:idx val="1"/>
          <c:order val="1"/>
          <c:tx>
            <c:strRef>
              <c:f>'Exportaciones tradicionales'!$AB$8</c:f>
              <c:strCache>
                <c:ptCount val="1"/>
                <c:pt idx="0">
                  <c:v> Carbón </c:v>
                </c:pt>
              </c:strCache>
            </c:strRef>
          </c:tx>
          <c:spPr>
            <a:ln w="28575" cap="rnd">
              <a:solidFill>
                <a:schemeClr val="accent2"/>
              </a:solidFill>
              <a:round/>
            </a:ln>
            <a:effectLst/>
          </c:spPr>
          <c:marker>
            <c:symbol val="none"/>
          </c:marker>
          <c:cat>
            <c:numRef>
              <c:f>'Exportaciones tradicionales'!$Z$9:$Z$70</c:f>
              <c:numCache>
                <c:formatCode>mmm\-yy</c:formatCode>
                <c:ptCount val="62"/>
                <c:pt idx="0">
                  <c:v>44197</c:v>
                </c:pt>
                <c:pt idx="1">
                  <c:v>44228</c:v>
                </c:pt>
                <c:pt idx="2">
                  <c:v>44256</c:v>
                </c:pt>
                <c:pt idx="3">
                  <c:v>44287</c:v>
                </c:pt>
                <c:pt idx="4">
                  <c:v>44317</c:v>
                </c:pt>
                <c:pt idx="5">
                  <c:v>44348</c:v>
                </c:pt>
                <c:pt idx="6">
                  <c:v>44378</c:v>
                </c:pt>
                <c:pt idx="7">
                  <c:v>44409</c:v>
                </c:pt>
                <c:pt idx="8">
                  <c:v>44440</c:v>
                </c:pt>
                <c:pt idx="9">
                  <c:v>44470</c:v>
                </c:pt>
                <c:pt idx="10">
                  <c:v>44501</c:v>
                </c:pt>
                <c:pt idx="11">
                  <c:v>44531</c:v>
                </c:pt>
                <c:pt idx="12">
                  <c:v>44562</c:v>
                </c:pt>
                <c:pt idx="13">
                  <c:v>44593</c:v>
                </c:pt>
                <c:pt idx="14">
                  <c:v>44621</c:v>
                </c:pt>
                <c:pt idx="15">
                  <c:v>44652</c:v>
                </c:pt>
                <c:pt idx="16">
                  <c:v>44682</c:v>
                </c:pt>
                <c:pt idx="17">
                  <c:v>44713</c:v>
                </c:pt>
                <c:pt idx="18">
                  <c:v>44743</c:v>
                </c:pt>
                <c:pt idx="19">
                  <c:v>44774</c:v>
                </c:pt>
                <c:pt idx="20">
                  <c:v>44805</c:v>
                </c:pt>
                <c:pt idx="21">
                  <c:v>44835</c:v>
                </c:pt>
                <c:pt idx="22">
                  <c:v>44866</c:v>
                </c:pt>
                <c:pt idx="23">
                  <c:v>44896</c:v>
                </c:pt>
                <c:pt idx="24">
                  <c:v>44927</c:v>
                </c:pt>
                <c:pt idx="25">
                  <c:v>44958</c:v>
                </c:pt>
                <c:pt idx="26">
                  <c:v>44986</c:v>
                </c:pt>
                <c:pt idx="27">
                  <c:v>45017</c:v>
                </c:pt>
                <c:pt idx="28">
                  <c:v>45047</c:v>
                </c:pt>
                <c:pt idx="29">
                  <c:v>45078</c:v>
                </c:pt>
                <c:pt idx="30">
                  <c:v>45108</c:v>
                </c:pt>
                <c:pt idx="31">
                  <c:v>45139</c:v>
                </c:pt>
                <c:pt idx="32">
                  <c:v>45170</c:v>
                </c:pt>
                <c:pt idx="33">
                  <c:v>45200</c:v>
                </c:pt>
                <c:pt idx="34">
                  <c:v>45231</c:v>
                </c:pt>
                <c:pt idx="35">
                  <c:v>45261</c:v>
                </c:pt>
                <c:pt idx="36">
                  <c:v>45292</c:v>
                </c:pt>
                <c:pt idx="37">
                  <c:v>45323</c:v>
                </c:pt>
                <c:pt idx="38">
                  <c:v>45352</c:v>
                </c:pt>
                <c:pt idx="39">
                  <c:v>45383</c:v>
                </c:pt>
                <c:pt idx="40">
                  <c:v>45413</c:v>
                </c:pt>
                <c:pt idx="41">
                  <c:v>45444</c:v>
                </c:pt>
                <c:pt idx="42">
                  <c:v>45474</c:v>
                </c:pt>
                <c:pt idx="43">
                  <c:v>45505</c:v>
                </c:pt>
                <c:pt idx="44">
                  <c:v>45536</c:v>
                </c:pt>
                <c:pt idx="45">
                  <c:v>45566</c:v>
                </c:pt>
                <c:pt idx="46">
                  <c:v>45597</c:v>
                </c:pt>
                <c:pt idx="47">
                  <c:v>45627</c:v>
                </c:pt>
                <c:pt idx="48">
                  <c:v>45658</c:v>
                </c:pt>
                <c:pt idx="49">
                  <c:v>45689</c:v>
                </c:pt>
                <c:pt idx="50">
                  <c:v>45717</c:v>
                </c:pt>
                <c:pt idx="51">
                  <c:v>45748</c:v>
                </c:pt>
                <c:pt idx="52">
                  <c:v>45778</c:v>
                </c:pt>
                <c:pt idx="53">
                  <c:v>45809</c:v>
                </c:pt>
                <c:pt idx="54">
                  <c:v>45839</c:v>
                </c:pt>
                <c:pt idx="55">
                  <c:v>45870</c:v>
                </c:pt>
                <c:pt idx="56">
                  <c:v>45901</c:v>
                </c:pt>
                <c:pt idx="57">
                  <c:v>45931</c:v>
                </c:pt>
                <c:pt idx="58">
                  <c:v>45962</c:v>
                </c:pt>
                <c:pt idx="59">
                  <c:v>45992</c:v>
                </c:pt>
                <c:pt idx="60">
                  <c:v>46023</c:v>
                </c:pt>
                <c:pt idx="61">
                  <c:v>46054</c:v>
                </c:pt>
              </c:numCache>
            </c:numRef>
          </c:cat>
          <c:val>
            <c:numRef>
              <c:f>'Exportaciones tradicionales'!$AB$9:$AB$70</c:f>
              <c:numCache>
                <c:formatCode>0.000%</c:formatCode>
                <c:ptCount val="62"/>
                <c:pt idx="0">
                  <c:v>9.6179441200748853E-2</c:v>
                </c:pt>
                <c:pt idx="1">
                  <c:v>0.15137802749551629</c:v>
                </c:pt>
                <c:pt idx="2">
                  <c:v>7.8262102429085045E-2</c:v>
                </c:pt>
                <c:pt idx="3">
                  <c:v>0.11455438106406718</c:v>
                </c:pt>
                <c:pt idx="4">
                  <c:v>0.1083706306120959</c:v>
                </c:pt>
                <c:pt idx="5">
                  <c:v>0.1307977229397341</c:v>
                </c:pt>
                <c:pt idx="6">
                  <c:v>0.12125478797498826</c:v>
                </c:pt>
                <c:pt idx="7">
                  <c:v>0.1391690563811869</c:v>
                </c:pt>
                <c:pt idx="8">
                  <c:v>0.15271802541016402</c:v>
                </c:pt>
                <c:pt idx="9">
                  <c:v>0.15645457297269341</c:v>
                </c:pt>
                <c:pt idx="10">
                  <c:v>0.15273256480457542</c:v>
                </c:pt>
                <c:pt idx="11">
                  <c:v>0.19595334930286729</c:v>
                </c:pt>
                <c:pt idx="12">
                  <c:v>0.20407971604397118</c:v>
                </c:pt>
                <c:pt idx="13">
                  <c:v>0.13412779286170073</c:v>
                </c:pt>
                <c:pt idx="14">
                  <c:v>0.1296739461146211</c:v>
                </c:pt>
                <c:pt idx="15">
                  <c:v>0.24164084437485037</c:v>
                </c:pt>
                <c:pt idx="16">
                  <c:v>0.11567275674606907</c:v>
                </c:pt>
                <c:pt idx="17">
                  <c:v>0.27481329746416233</c:v>
                </c:pt>
                <c:pt idx="18">
                  <c:v>0.30601114852477984</c:v>
                </c:pt>
                <c:pt idx="19">
                  <c:v>0.16163627103191217</c:v>
                </c:pt>
                <c:pt idx="20">
                  <c:v>0.26075363830161702</c:v>
                </c:pt>
                <c:pt idx="21">
                  <c:v>0.23210718996810023</c:v>
                </c:pt>
                <c:pt idx="22">
                  <c:v>0.23774775570110221</c:v>
                </c:pt>
                <c:pt idx="23">
                  <c:v>0.24370573317739619</c:v>
                </c:pt>
                <c:pt idx="24">
                  <c:v>0.24368239306085454</c:v>
                </c:pt>
                <c:pt idx="25">
                  <c:v>0.23285939144801893</c:v>
                </c:pt>
                <c:pt idx="26">
                  <c:v>0.21462801440814541</c:v>
                </c:pt>
                <c:pt idx="27">
                  <c:v>0.14548117376794972</c:v>
                </c:pt>
                <c:pt idx="28">
                  <c:v>0.20341651112295236</c:v>
                </c:pt>
                <c:pt idx="29">
                  <c:v>0.19331936483736026</c:v>
                </c:pt>
                <c:pt idx="30">
                  <c:v>0.16296200208993489</c:v>
                </c:pt>
                <c:pt idx="31">
                  <c:v>0.1226269396997032</c:v>
                </c:pt>
                <c:pt idx="32">
                  <c:v>0.1578305147355209</c:v>
                </c:pt>
                <c:pt idx="33">
                  <c:v>0.14864521317252152</c:v>
                </c:pt>
                <c:pt idx="34">
                  <c:v>0.19571913859070622</c:v>
                </c:pt>
                <c:pt idx="35">
                  <c:v>0.18281319585659755</c:v>
                </c:pt>
                <c:pt idx="36">
                  <c:v>0.17866893716842058</c:v>
                </c:pt>
                <c:pt idx="37">
                  <c:v>0.16597391462412042</c:v>
                </c:pt>
                <c:pt idx="38">
                  <c:v>0.13366702306027742</c:v>
                </c:pt>
                <c:pt idx="39">
                  <c:v>0.1464581290896575</c:v>
                </c:pt>
                <c:pt idx="40">
                  <c:v>0.1434302664904912</c:v>
                </c:pt>
                <c:pt idx="41">
                  <c:v>0.11955924824070188</c:v>
                </c:pt>
                <c:pt idx="42">
                  <c:v>0.1918212414484031</c:v>
                </c:pt>
                <c:pt idx="43">
                  <c:v>9.1692089497469334E-2</c:v>
                </c:pt>
                <c:pt idx="44">
                  <c:v>0.13051096636812828</c:v>
                </c:pt>
                <c:pt idx="45">
                  <c:v>0.10692922815654504</c:v>
                </c:pt>
                <c:pt idx="46">
                  <c:v>0.18053484644848283</c:v>
                </c:pt>
                <c:pt idx="47">
                  <c:v>0.12895514973008429</c:v>
                </c:pt>
                <c:pt idx="48">
                  <c:v>8.6549340406992956E-2</c:v>
                </c:pt>
                <c:pt idx="49">
                  <c:v>0.12334912490152501</c:v>
                </c:pt>
                <c:pt idx="50">
                  <c:v>5.2669575857527198E-2</c:v>
                </c:pt>
                <c:pt idx="51">
                  <c:v>9.7992855465087403E-2</c:v>
                </c:pt>
                <c:pt idx="52">
                  <c:v>0.12688868211105317</c:v>
                </c:pt>
                <c:pt idx="53">
                  <c:v>9.8868653749891885E-2</c:v>
                </c:pt>
                <c:pt idx="54">
                  <c:v>0.10837521063053189</c:v>
                </c:pt>
                <c:pt idx="55">
                  <c:v>5.7976831005631682E-2</c:v>
                </c:pt>
                <c:pt idx="56">
                  <c:v>0.11587406382351047</c:v>
                </c:pt>
                <c:pt idx="57">
                  <c:v>9.9957335981926937E-2</c:v>
                </c:pt>
                <c:pt idx="58">
                  <c:v>9.7555871822664217E-2</c:v>
                </c:pt>
                <c:pt idx="59">
                  <c:v>0.10209130361701139</c:v>
                </c:pt>
                <c:pt idx="60">
                  <c:v>8.5426901388491544E-2</c:v>
                </c:pt>
                <c:pt idx="61">
                  <c:v>8.994277256490707E-2</c:v>
                </c:pt>
              </c:numCache>
            </c:numRef>
          </c:val>
          <c:smooth val="0"/>
          <c:extLst>
            <c:ext xmlns:c16="http://schemas.microsoft.com/office/drawing/2014/chart" uri="{C3380CC4-5D6E-409C-BE32-E72D297353CC}">
              <c16:uniqueId val="{00000001-C2E2-3E4A-933D-94C575B6EAA8}"/>
            </c:ext>
          </c:extLst>
        </c:ser>
        <c:ser>
          <c:idx val="2"/>
          <c:order val="2"/>
          <c:tx>
            <c:strRef>
              <c:f>'Exportaciones tradicionales'!$AC$8</c:f>
              <c:strCache>
                <c:ptCount val="1"/>
                <c:pt idx="0">
                  <c:v> Petróleo y derivados </c:v>
                </c:pt>
              </c:strCache>
            </c:strRef>
          </c:tx>
          <c:spPr>
            <a:ln w="28575" cap="rnd">
              <a:solidFill>
                <a:schemeClr val="accent3"/>
              </a:solidFill>
              <a:round/>
            </a:ln>
            <a:effectLst/>
          </c:spPr>
          <c:marker>
            <c:symbol val="none"/>
          </c:marker>
          <c:cat>
            <c:numRef>
              <c:f>'Exportaciones tradicionales'!$Z$9:$Z$70</c:f>
              <c:numCache>
                <c:formatCode>mmm\-yy</c:formatCode>
                <c:ptCount val="62"/>
                <c:pt idx="0">
                  <c:v>44197</c:v>
                </c:pt>
                <c:pt idx="1">
                  <c:v>44228</c:v>
                </c:pt>
                <c:pt idx="2">
                  <c:v>44256</c:v>
                </c:pt>
                <c:pt idx="3">
                  <c:v>44287</c:v>
                </c:pt>
                <c:pt idx="4">
                  <c:v>44317</c:v>
                </c:pt>
                <c:pt idx="5">
                  <c:v>44348</c:v>
                </c:pt>
                <c:pt idx="6">
                  <c:v>44378</c:v>
                </c:pt>
                <c:pt idx="7">
                  <c:v>44409</c:v>
                </c:pt>
                <c:pt idx="8">
                  <c:v>44440</c:v>
                </c:pt>
                <c:pt idx="9">
                  <c:v>44470</c:v>
                </c:pt>
                <c:pt idx="10">
                  <c:v>44501</c:v>
                </c:pt>
                <c:pt idx="11">
                  <c:v>44531</c:v>
                </c:pt>
                <c:pt idx="12">
                  <c:v>44562</c:v>
                </c:pt>
                <c:pt idx="13">
                  <c:v>44593</c:v>
                </c:pt>
                <c:pt idx="14">
                  <c:v>44621</c:v>
                </c:pt>
                <c:pt idx="15">
                  <c:v>44652</c:v>
                </c:pt>
                <c:pt idx="16">
                  <c:v>44682</c:v>
                </c:pt>
                <c:pt idx="17">
                  <c:v>44713</c:v>
                </c:pt>
                <c:pt idx="18">
                  <c:v>44743</c:v>
                </c:pt>
                <c:pt idx="19">
                  <c:v>44774</c:v>
                </c:pt>
                <c:pt idx="20">
                  <c:v>44805</c:v>
                </c:pt>
                <c:pt idx="21">
                  <c:v>44835</c:v>
                </c:pt>
                <c:pt idx="22">
                  <c:v>44866</c:v>
                </c:pt>
                <c:pt idx="23">
                  <c:v>44896</c:v>
                </c:pt>
                <c:pt idx="24">
                  <c:v>44927</c:v>
                </c:pt>
                <c:pt idx="25">
                  <c:v>44958</c:v>
                </c:pt>
                <c:pt idx="26">
                  <c:v>44986</c:v>
                </c:pt>
                <c:pt idx="27">
                  <c:v>45017</c:v>
                </c:pt>
                <c:pt idx="28">
                  <c:v>45047</c:v>
                </c:pt>
                <c:pt idx="29">
                  <c:v>45078</c:v>
                </c:pt>
                <c:pt idx="30">
                  <c:v>45108</c:v>
                </c:pt>
                <c:pt idx="31">
                  <c:v>45139</c:v>
                </c:pt>
                <c:pt idx="32">
                  <c:v>45170</c:v>
                </c:pt>
                <c:pt idx="33">
                  <c:v>45200</c:v>
                </c:pt>
                <c:pt idx="34">
                  <c:v>45231</c:v>
                </c:pt>
                <c:pt idx="35">
                  <c:v>45261</c:v>
                </c:pt>
                <c:pt idx="36">
                  <c:v>45292</c:v>
                </c:pt>
                <c:pt idx="37">
                  <c:v>45323</c:v>
                </c:pt>
                <c:pt idx="38">
                  <c:v>45352</c:v>
                </c:pt>
                <c:pt idx="39">
                  <c:v>45383</c:v>
                </c:pt>
                <c:pt idx="40">
                  <c:v>45413</c:v>
                </c:pt>
                <c:pt idx="41">
                  <c:v>45444</c:v>
                </c:pt>
                <c:pt idx="42">
                  <c:v>45474</c:v>
                </c:pt>
                <c:pt idx="43">
                  <c:v>45505</c:v>
                </c:pt>
                <c:pt idx="44">
                  <c:v>45536</c:v>
                </c:pt>
                <c:pt idx="45">
                  <c:v>45566</c:v>
                </c:pt>
                <c:pt idx="46">
                  <c:v>45597</c:v>
                </c:pt>
                <c:pt idx="47">
                  <c:v>45627</c:v>
                </c:pt>
                <c:pt idx="48">
                  <c:v>45658</c:v>
                </c:pt>
                <c:pt idx="49">
                  <c:v>45689</c:v>
                </c:pt>
                <c:pt idx="50">
                  <c:v>45717</c:v>
                </c:pt>
                <c:pt idx="51">
                  <c:v>45748</c:v>
                </c:pt>
                <c:pt idx="52">
                  <c:v>45778</c:v>
                </c:pt>
                <c:pt idx="53">
                  <c:v>45809</c:v>
                </c:pt>
                <c:pt idx="54">
                  <c:v>45839</c:v>
                </c:pt>
                <c:pt idx="55">
                  <c:v>45870</c:v>
                </c:pt>
                <c:pt idx="56">
                  <c:v>45901</c:v>
                </c:pt>
                <c:pt idx="57">
                  <c:v>45931</c:v>
                </c:pt>
                <c:pt idx="58">
                  <c:v>45962</c:v>
                </c:pt>
                <c:pt idx="59">
                  <c:v>45992</c:v>
                </c:pt>
                <c:pt idx="60">
                  <c:v>46023</c:v>
                </c:pt>
                <c:pt idx="61">
                  <c:v>46054</c:v>
                </c:pt>
              </c:numCache>
            </c:numRef>
          </c:cat>
          <c:val>
            <c:numRef>
              <c:f>'Exportaciones tradicionales'!$AC$9:$AC$70</c:f>
              <c:numCache>
                <c:formatCode>0.000%</c:formatCode>
                <c:ptCount val="62"/>
                <c:pt idx="0">
                  <c:v>0.35637590810962977</c:v>
                </c:pt>
                <c:pt idx="1">
                  <c:v>0.2746549351180293</c:v>
                </c:pt>
                <c:pt idx="2">
                  <c:v>0.33533437085300249</c:v>
                </c:pt>
                <c:pt idx="3">
                  <c:v>0.28971526591789121</c:v>
                </c:pt>
                <c:pt idx="4">
                  <c:v>0.39203833593501136</c:v>
                </c:pt>
                <c:pt idx="5">
                  <c:v>0.35901918180045234</c:v>
                </c:pt>
                <c:pt idx="6">
                  <c:v>0.28977495263206876</c:v>
                </c:pt>
                <c:pt idx="7">
                  <c:v>0.29689699112357248</c:v>
                </c:pt>
                <c:pt idx="8">
                  <c:v>0.33610865728690181</c:v>
                </c:pt>
                <c:pt idx="9">
                  <c:v>0.34013916709814301</c:v>
                </c:pt>
                <c:pt idx="10">
                  <c:v>0.34244318344364705</c:v>
                </c:pt>
                <c:pt idx="11">
                  <c:v>0.30947852942831611</c:v>
                </c:pt>
                <c:pt idx="12">
                  <c:v>0.3336734725071196</c:v>
                </c:pt>
                <c:pt idx="13">
                  <c:v>0.33914732575231221</c:v>
                </c:pt>
                <c:pt idx="14">
                  <c:v>0.38330552927906009</c:v>
                </c:pt>
                <c:pt idx="15">
                  <c:v>0.35749632105159734</c:v>
                </c:pt>
                <c:pt idx="16">
                  <c:v>0.39867339371186372</c:v>
                </c:pt>
                <c:pt idx="17">
                  <c:v>0.31107906251790279</c:v>
                </c:pt>
                <c:pt idx="18">
                  <c:v>0.31109641160100249</c:v>
                </c:pt>
                <c:pt idx="19">
                  <c:v>0.34531308134294847</c:v>
                </c:pt>
                <c:pt idx="20">
                  <c:v>0.281313378555547</c:v>
                </c:pt>
                <c:pt idx="21">
                  <c:v>0.28504808265018194</c:v>
                </c:pt>
                <c:pt idx="22">
                  <c:v>0.31868742838067993</c:v>
                </c:pt>
                <c:pt idx="23">
                  <c:v>0.28440189701482838</c:v>
                </c:pt>
                <c:pt idx="24">
                  <c:v>0.28466341015761643</c:v>
                </c:pt>
                <c:pt idx="25">
                  <c:v>0.30686178573255357</c:v>
                </c:pt>
                <c:pt idx="26">
                  <c:v>0.26947940755863919</c:v>
                </c:pt>
                <c:pt idx="27">
                  <c:v>0.34475640481933978</c:v>
                </c:pt>
                <c:pt idx="28">
                  <c:v>0.26498505831749392</c:v>
                </c:pt>
                <c:pt idx="29">
                  <c:v>0.295497832693707</c:v>
                </c:pt>
                <c:pt idx="30">
                  <c:v>0.34319459189449608</c:v>
                </c:pt>
                <c:pt idx="31">
                  <c:v>0.36437351205786173</c:v>
                </c:pt>
                <c:pt idx="32">
                  <c:v>0.36351231639311543</c:v>
                </c:pt>
                <c:pt idx="33">
                  <c:v>0.37153298183312394</c:v>
                </c:pt>
                <c:pt idx="34">
                  <c:v>0.28936088830507423</c:v>
                </c:pt>
                <c:pt idx="35">
                  <c:v>0.32863069688499802</c:v>
                </c:pt>
                <c:pt idx="36">
                  <c:v>0.29293363924572519</c:v>
                </c:pt>
                <c:pt idx="37">
                  <c:v>0.29353447452432829</c:v>
                </c:pt>
                <c:pt idx="38">
                  <c:v>0.35185108665180342</c:v>
                </c:pt>
                <c:pt idx="39">
                  <c:v>0.31070972145306569</c:v>
                </c:pt>
                <c:pt idx="40">
                  <c:v>0.31802524532516535</c:v>
                </c:pt>
                <c:pt idx="41">
                  <c:v>0.34052860427289294</c:v>
                </c:pt>
                <c:pt idx="42">
                  <c:v>0.28983665485745957</c:v>
                </c:pt>
                <c:pt idx="43">
                  <c:v>0.33615140898092954</c:v>
                </c:pt>
                <c:pt idx="44">
                  <c:v>0.28561606229400222</c:v>
                </c:pt>
                <c:pt idx="45">
                  <c:v>0.28534551354970722</c:v>
                </c:pt>
                <c:pt idx="46">
                  <c:v>0.2670494709953295</c:v>
                </c:pt>
                <c:pt idx="47">
                  <c:v>0.27732393772206421</c:v>
                </c:pt>
                <c:pt idx="48">
                  <c:v>0.28754546757048138</c:v>
                </c:pt>
                <c:pt idx="49">
                  <c:v>0.22873999792761965</c:v>
                </c:pt>
                <c:pt idx="50">
                  <c:v>0.33178361055758893</c:v>
                </c:pt>
                <c:pt idx="51">
                  <c:v>0.22815201429048068</c:v>
                </c:pt>
                <c:pt idx="52">
                  <c:v>0.24401148254026869</c:v>
                </c:pt>
                <c:pt idx="53">
                  <c:v>0.27193223375004938</c:v>
                </c:pt>
                <c:pt idx="54">
                  <c:v>0.24999031323783702</c:v>
                </c:pt>
                <c:pt idx="55">
                  <c:v>0.25550510128601733</c:v>
                </c:pt>
                <c:pt idx="56">
                  <c:v>0.22634566117862992</c:v>
                </c:pt>
                <c:pt idx="57">
                  <c:v>0.22238327184727313</c:v>
                </c:pt>
                <c:pt idx="58">
                  <c:v>0.22957467000530579</c:v>
                </c:pt>
                <c:pt idx="59">
                  <c:v>0.2124355892570641</c:v>
                </c:pt>
                <c:pt idx="60">
                  <c:v>0.23025882006973972</c:v>
                </c:pt>
                <c:pt idx="61">
                  <c:v>0.20649299515615277</c:v>
                </c:pt>
              </c:numCache>
            </c:numRef>
          </c:val>
          <c:smooth val="0"/>
          <c:extLst>
            <c:ext xmlns:c16="http://schemas.microsoft.com/office/drawing/2014/chart" uri="{C3380CC4-5D6E-409C-BE32-E72D297353CC}">
              <c16:uniqueId val="{00000002-C2E2-3E4A-933D-94C575B6EAA8}"/>
            </c:ext>
          </c:extLst>
        </c:ser>
        <c:ser>
          <c:idx val="4"/>
          <c:order val="3"/>
          <c:tx>
            <c:strRef>
              <c:f>'Exportaciones tradicionales'!$AE$8</c:f>
              <c:strCache>
                <c:ptCount val="1"/>
                <c:pt idx="0">
                  <c:v>Piedras y metales preciosos</c:v>
                </c:pt>
              </c:strCache>
            </c:strRef>
          </c:tx>
          <c:spPr>
            <a:ln w="28575" cap="rnd">
              <a:solidFill>
                <a:schemeClr val="accent5"/>
              </a:solidFill>
              <a:round/>
            </a:ln>
            <a:effectLst/>
          </c:spPr>
          <c:marker>
            <c:symbol val="none"/>
          </c:marker>
          <c:cat>
            <c:numRef>
              <c:f>'Exportaciones tradicionales'!$Z$9:$Z$70</c:f>
              <c:numCache>
                <c:formatCode>mmm\-yy</c:formatCode>
                <c:ptCount val="62"/>
                <c:pt idx="0">
                  <c:v>44197</c:v>
                </c:pt>
                <c:pt idx="1">
                  <c:v>44228</c:v>
                </c:pt>
                <c:pt idx="2">
                  <c:v>44256</c:v>
                </c:pt>
                <c:pt idx="3">
                  <c:v>44287</c:v>
                </c:pt>
                <c:pt idx="4">
                  <c:v>44317</c:v>
                </c:pt>
                <c:pt idx="5">
                  <c:v>44348</c:v>
                </c:pt>
                <c:pt idx="6">
                  <c:v>44378</c:v>
                </c:pt>
                <c:pt idx="7">
                  <c:v>44409</c:v>
                </c:pt>
                <c:pt idx="8">
                  <c:v>44440</c:v>
                </c:pt>
                <c:pt idx="9">
                  <c:v>44470</c:v>
                </c:pt>
                <c:pt idx="10">
                  <c:v>44501</c:v>
                </c:pt>
                <c:pt idx="11">
                  <c:v>44531</c:v>
                </c:pt>
                <c:pt idx="12">
                  <c:v>44562</c:v>
                </c:pt>
                <c:pt idx="13">
                  <c:v>44593</c:v>
                </c:pt>
                <c:pt idx="14">
                  <c:v>44621</c:v>
                </c:pt>
                <c:pt idx="15">
                  <c:v>44652</c:v>
                </c:pt>
                <c:pt idx="16">
                  <c:v>44682</c:v>
                </c:pt>
                <c:pt idx="17">
                  <c:v>44713</c:v>
                </c:pt>
                <c:pt idx="18">
                  <c:v>44743</c:v>
                </c:pt>
                <c:pt idx="19">
                  <c:v>44774</c:v>
                </c:pt>
                <c:pt idx="20">
                  <c:v>44805</c:v>
                </c:pt>
                <c:pt idx="21">
                  <c:v>44835</c:v>
                </c:pt>
                <c:pt idx="22">
                  <c:v>44866</c:v>
                </c:pt>
                <c:pt idx="23">
                  <c:v>44896</c:v>
                </c:pt>
                <c:pt idx="24">
                  <c:v>44927</c:v>
                </c:pt>
                <c:pt idx="25">
                  <c:v>44958</c:v>
                </c:pt>
                <c:pt idx="26">
                  <c:v>44986</c:v>
                </c:pt>
                <c:pt idx="27">
                  <c:v>45017</c:v>
                </c:pt>
                <c:pt idx="28">
                  <c:v>45047</c:v>
                </c:pt>
                <c:pt idx="29">
                  <c:v>45078</c:v>
                </c:pt>
                <c:pt idx="30">
                  <c:v>45108</c:v>
                </c:pt>
                <c:pt idx="31">
                  <c:v>45139</c:v>
                </c:pt>
                <c:pt idx="32">
                  <c:v>45170</c:v>
                </c:pt>
                <c:pt idx="33">
                  <c:v>45200</c:v>
                </c:pt>
                <c:pt idx="34">
                  <c:v>45231</c:v>
                </c:pt>
                <c:pt idx="35">
                  <c:v>45261</c:v>
                </c:pt>
                <c:pt idx="36">
                  <c:v>45292</c:v>
                </c:pt>
                <c:pt idx="37">
                  <c:v>45323</c:v>
                </c:pt>
                <c:pt idx="38">
                  <c:v>45352</c:v>
                </c:pt>
                <c:pt idx="39">
                  <c:v>45383</c:v>
                </c:pt>
                <c:pt idx="40">
                  <c:v>45413</c:v>
                </c:pt>
                <c:pt idx="41">
                  <c:v>45444</c:v>
                </c:pt>
                <c:pt idx="42">
                  <c:v>45474</c:v>
                </c:pt>
                <c:pt idx="43">
                  <c:v>45505</c:v>
                </c:pt>
                <c:pt idx="44">
                  <c:v>45536</c:v>
                </c:pt>
                <c:pt idx="45">
                  <c:v>45566</c:v>
                </c:pt>
                <c:pt idx="46">
                  <c:v>45597</c:v>
                </c:pt>
                <c:pt idx="47">
                  <c:v>45627</c:v>
                </c:pt>
                <c:pt idx="48">
                  <c:v>45658</c:v>
                </c:pt>
                <c:pt idx="49">
                  <c:v>45689</c:v>
                </c:pt>
                <c:pt idx="50">
                  <c:v>45717</c:v>
                </c:pt>
                <c:pt idx="51">
                  <c:v>45748</c:v>
                </c:pt>
                <c:pt idx="52">
                  <c:v>45778</c:v>
                </c:pt>
                <c:pt idx="53">
                  <c:v>45809</c:v>
                </c:pt>
                <c:pt idx="54">
                  <c:v>45839</c:v>
                </c:pt>
                <c:pt idx="55">
                  <c:v>45870</c:v>
                </c:pt>
                <c:pt idx="56">
                  <c:v>45901</c:v>
                </c:pt>
                <c:pt idx="57">
                  <c:v>45931</c:v>
                </c:pt>
                <c:pt idx="58">
                  <c:v>45962</c:v>
                </c:pt>
                <c:pt idx="59">
                  <c:v>45992</c:v>
                </c:pt>
                <c:pt idx="60">
                  <c:v>46023</c:v>
                </c:pt>
                <c:pt idx="61">
                  <c:v>46054</c:v>
                </c:pt>
              </c:numCache>
            </c:numRef>
          </c:cat>
          <c:val>
            <c:numRef>
              <c:f>'Exportaciones tradicionales'!$AE$9:$AE$70</c:f>
              <c:numCache>
                <c:formatCode>0.000%</c:formatCode>
                <c:ptCount val="62"/>
                <c:pt idx="0">
                  <c:v>7.3191981711352147E-2</c:v>
                </c:pt>
                <c:pt idx="1">
                  <c:v>8.8855166104056513E-2</c:v>
                </c:pt>
                <c:pt idx="2">
                  <c:v>8.2616382436857941E-2</c:v>
                </c:pt>
                <c:pt idx="3">
                  <c:v>9.1387832336516539E-2</c:v>
                </c:pt>
                <c:pt idx="4">
                  <c:v>9.7579973347916529E-2</c:v>
                </c:pt>
                <c:pt idx="5">
                  <c:v>8.99654787990605E-2</c:v>
                </c:pt>
                <c:pt idx="6">
                  <c:v>9.0958615203153056E-2</c:v>
                </c:pt>
                <c:pt idx="7">
                  <c:v>6.5162086130304761E-2</c:v>
                </c:pt>
                <c:pt idx="8">
                  <c:v>7.5854770398826571E-2</c:v>
                </c:pt>
                <c:pt idx="9">
                  <c:v>6.3778405950260436E-2</c:v>
                </c:pt>
                <c:pt idx="10">
                  <c:v>7.3882249962858651E-2</c:v>
                </c:pt>
                <c:pt idx="11">
                  <c:v>8.2998370493873153E-2</c:v>
                </c:pt>
                <c:pt idx="12">
                  <c:v>5.0070529649287474E-2</c:v>
                </c:pt>
                <c:pt idx="13">
                  <c:v>6.3879502157036264E-2</c:v>
                </c:pt>
                <c:pt idx="14">
                  <c:v>5.2693123130722427E-2</c:v>
                </c:pt>
                <c:pt idx="15">
                  <c:v>4.6729148271775982E-2</c:v>
                </c:pt>
                <c:pt idx="16">
                  <c:v>5.9152444039087204E-2</c:v>
                </c:pt>
                <c:pt idx="17">
                  <c:v>3.6470193538261864E-2</c:v>
                </c:pt>
                <c:pt idx="18">
                  <c:v>5.291992415447043E-2</c:v>
                </c:pt>
                <c:pt idx="19">
                  <c:v>6.0930025506416574E-2</c:v>
                </c:pt>
                <c:pt idx="20">
                  <c:v>5.2702988945751775E-2</c:v>
                </c:pt>
                <c:pt idx="21">
                  <c:v>6.8839802118941251E-2</c:v>
                </c:pt>
                <c:pt idx="22">
                  <c:v>5.6737092015494178E-2</c:v>
                </c:pt>
                <c:pt idx="23">
                  <c:v>6.9728316491907291E-2</c:v>
                </c:pt>
                <c:pt idx="24">
                  <c:v>6.9150846939003724E-2</c:v>
                </c:pt>
                <c:pt idx="25">
                  <c:v>6.368280488426234E-2</c:v>
                </c:pt>
                <c:pt idx="26">
                  <c:v>7.1021459155876376E-2</c:v>
                </c:pt>
                <c:pt idx="27">
                  <c:v>6.9775075007213333E-2</c:v>
                </c:pt>
                <c:pt idx="28">
                  <c:v>7.7775257361593755E-2</c:v>
                </c:pt>
                <c:pt idx="29">
                  <c:v>6.7224173331460316E-2</c:v>
                </c:pt>
                <c:pt idx="30">
                  <c:v>7.9791909071325814E-2</c:v>
                </c:pt>
                <c:pt idx="31">
                  <c:v>7.3041486267533054E-2</c:v>
                </c:pt>
                <c:pt idx="32">
                  <c:v>7.8605911713564722E-2</c:v>
                </c:pt>
                <c:pt idx="33">
                  <c:v>6.618250263013313E-2</c:v>
                </c:pt>
                <c:pt idx="34">
                  <c:v>8.1767381162402578E-2</c:v>
                </c:pt>
                <c:pt idx="35">
                  <c:v>7.420676426923567E-2</c:v>
                </c:pt>
                <c:pt idx="36">
                  <c:v>7.7063967088767837E-2</c:v>
                </c:pt>
                <c:pt idx="37">
                  <c:v>6.5180583187011698E-2</c:v>
                </c:pt>
                <c:pt idx="38">
                  <c:v>6.2745604138007005E-2</c:v>
                </c:pt>
                <c:pt idx="39">
                  <c:v>8.8587952531110334E-2</c:v>
                </c:pt>
                <c:pt idx="40">
                  <c:v>7.8634167248722034E-2</c:v>
                </c:pt>
                <c:pt idx="41">
                  <c:v>7.3121614349663466E-2</c:v>
                </c:pt>
                <c:pt idx="42">
                  <c:v>9.0155342137135927E-2</c:v>
                </c:pt>
                <c:pt idx="43">
                  <c:v>8.6199224599470867E-2</c:v>
                </c:pt>
                <c:pt idx="44">
                  <c:v>0.10806996727120016</c:v>
                </c:pt>
                <c:pt idx="45">
                  <c:v>0.11959901063518637</c:v>
                </c:pt>
                <c:pt idx="46">
                  <c:v>0.10206780405842833</c:v>
                </c:pt>
                <c:pt idx="47">
                  <c:v>8.8943084606978001E-2</c:v>
                </c:pt>
                <c:pt idx="48">
                  <c:v>9.0433873999364631E-2</c:v>
                </c:pt>
                <c:pt idx="49">
                  <c:v>9.0774269962104109E-2</c:v>
                </c:pt>
                <c:pt idx="50">
                  <c:v>8.1636261286934547E-2</c:v>
                </c:pt>
                <c:pt idx="51">
                  <c:v>8.9296208565205676E-2</c:v>
                </c:pt>
                <c:pt idx="52">
                  <c:v>8.4546010561729029E-2</c:v>
                </c:pt>
                <c:pt idx="53">
                  <c:v>8.1518417535118778E-2</c:v>
                </c:pt>
                <c:pt idx="54">
                  <c:v>9.3604298649239581E-2</c:v>
                </c:pt>
                <c:pt idx="55">
                  <c:v>8.3797952795379563E-2</c:v>
                </c:pt>
                <c:pt idx="56">
                  <c:v>9.6883233575735375E-2</c:v>
                </c:pt>
                <c:pt idx="57">
                  <c:v>0.10992154399205856</c:v>
                </c:pt>
                <c:pt idx="58">
                  <c:v>8.7030906175076986E-2</c:v>
                </c:pt>
                <c:pt idx="59">
                  <c:v>0.1629130520208534</c:v>
                </c:pt>
                <c:pt idx="60">
                  <c:v>0.16588518740554001</c:v>
                </c:pt>
                <c:pt idx="61">
                  <c:v>0.19168266509499293</c:v>
                </c:pt>
              </c:numCache>
            </c:numRef>
          </c:val>
          <c:smooth val="0"/>
          <c:extLst>
            <c:ext xmlns:c16="http://schemas.microsoft.com/office/drawing/2014/chart" uri="{C3380CC4-5D6E-409C-BE32-E72D297353CC}">
              <c16:uniqueId val="{00000003-C2E2-3E4A-933D-94C575B6EAA8}"/>
            </c:ext>
          </c:extLst>
        </c:ser>
        <c:ser>
          <c:idx val="6"/>
          <c:order val="4"/>
          <c:tx>
            <c:strRef>
              <c:f>'Exportaciones tradicionales'!$AG$8</c:f>
              <c:strCache>
                <c:ptCount val="1"/>
                <c:pt idx="0">
                  <c:v>Floricultutra</c:v>
                </c:pt>
              </c:strCache>
            </c:strRef>
          </c:tx>
          <c:spPr>
            <a:ln w="28575" cap="rnd">
              <a:solidFill>
                <a:schemeClr val="accent1">
                  <a:lumMod val="60000"/>
                </a:schemeClr>
              </a:solidFill>
              <a:round/>
            </a:ln>
            <a:effectLst/>
          </c:spPr>
          <c:marker>
            <c:symbol val="none"/>
          </c:marker>
          <c:cat>
            <c:numRef>
              <c:f>'Exportaciones tradicionales'!$Z$9:$Z$70</c:f>
              <c:numCache>
                <c:formatCode>mmm\-yy</c:formatCode>
                <c:ptCount val="62"/>
                <c:pt idx="0">
                  <c:v>44197</c:v>
                </c:pt>
                <c:pt idx="1">
                  <c:v>44228</c:v>
                </c:pt>
                <c:pt idx="2">
                  <c:v>44256</c:v>
                </c:pt>
                <c:pt idx="3">
                  <c:v>44287</c:v>
                </c:pt>
                <c:pt idx="4">
                  <c:v>44317</c:v>
                </c:pt>
                <c:pt idx="5">
                  <c:v>44348</c:v>
                </c:pt>
                <c:pt idx="6">
                  <c:v>44378</c:v>
                </c:pt>
                <c:pt idx="7">
                  <c:v>44409</c:v>
                </c:pt>
                <c:pt idx="8">
                  <c:v>44440</c:v>
                </c:pt>
                <c:pt idx="9">
                  <c:v>44470</c:v>
                </c:pt>
                <c:pt idx="10">
                  <c:v>44501</c:v>
                </c:pt>
                <c:pt idx="11">
                  <c:v>44531</c:v>
                </c:pt>
                <c:pt idx="12">
                  <c:v>44562</c:v>
                </c:pt>
                <c:pt idx="13">
                  <c:v>44593</c:v>
                </c:pt>
                <c:pt idx="14">
                  <c:v>44621</c:v>
                </c:pt>
                <c:pt idx="15">
                  <c:v>44652</c:v>
                </c:pt>
                <c:pt idx="16">
                  <c:v>44682</c:v>
                </c:pt>
                <c:pt idx="17">
                  <c:v>44713</c:v>
                </c:pt>
                <c:pt idx="18">
                  <c:v>44743</c:v>
                </c:pt>
                <c:pt idx="19">
                  <c:v>44774</c:v>
                </c:pt>
                <c:pt idx="20">
                  <c:v>44805</c:v>
                </c:pt>
                <c:pt idx="21">
                  <c:v>44835</c:v>
                </c:pt>
                <c:pt idx="22">
                  <c:v>44866</c:v>
                </c:pt>
                <c:pt idx="23">
                  <c:v>44896</c:v>
                </c:pt>
                <c:pt idx="24">
                  <c:v>44927</c:v>
                </c:pt>
                <c:pt idx="25">
                  <c:v>44958</c:v>
                </c:pt>
                <c:pt idx="26">
                  <c:v>44986</c:v>
                </c:pt>
                <c:pt idx="27">
                  <c:v>45017</c:v>
                </c:pt>
                <c:pt idx="28">
                  <c:v>45047</c:v>
                </c:pt>
                <c:pt idx="29">
                  <c:v>45078</c:v>
                </c:pt>
                <c:pt idx="30">
                  <c:v>45108</c:v>
                </c:pt>
                <c:pt idx="31">
                  <c:v>45139</c:v>
                </c:pt>
                <c:pt idx="32">
                  <c:v>45170</c:v>
                </c:pt>
                <c:pt idx="33">
                  <c:v>45200</c:v>
                </c:pt>
                <c:pt idx="34">
                  <c:v>45231</c:v>
                </c:pt>
                <c:pt idx="35">
                  <c:v>45261</c:v>
                </c:pt>
                <c:pt idx="36">
                  <c:v>45292</c:v>
                </c:pt>
                <c:pt idx="37">
                  <c:v>45323</c:v>
                </c:pt>
                <c:pt idx="38">
                  <c:v>45352</c:v>
                </c:pt>
                <c:pt idx="39">
                  <c:v>45383</c:v>
                </c:pt>
                <c:pt idx="40">
                  <c:v>45413</c:v>
                </c:pt>
                <c:pt idx="41">
                  <c:v>45444</c:v>
                </c:pt>
                <c:pt idx="42">
                  <c:v>45474</c:v>
                </c:pt>
                <c:pt idx="43">
                  <c:v>45505</c:v>
                </c:pt>
                <c:pt idx="44">
                  <c:v>45536</c:v>
                </c:pt>
                <c:pt idx="45">
                  <c:v>45566</c:v>
                </c:pt>
                <c:pt idx="46">
                  <c:v>45597</c:v>
                </c:pt>
                <c:pt idx="47">
                  <c:v>45627</c:v>
                </c:pt>
                <c:pt idx="48">
                  <c:v>45658</c:v>
                </c:pt>
                <c:pt idx="49">
                  <c:v>45689</c:v>
                </c:pt>
                <c:pt idx="50">
                  <c:v>45717</c:v>
                </c:pt>
                <c:pt idx="51">
                  <c:v>45748</c:v>
                </c:pt>
                <c:pt idx="52">
                  <c:v>45778</c:v>
                </c:pt>
                <c:pt idx="53">
                  <c:v>45809</c:v>
                </c:pt>
                <c:pt idx="54">
                  <c:v>45839</c:v>
                </c:pt>
                <c:pt idx="55">
                  <c:v>45870</c:v>
                </c:pt>
                <c:pt idx="56">
                  <c:v>45901</c:v>
                </c:pt>
                <c:pt idx="57">
                  <c:v>45931</c:v>
                </c:pt>
                <c:pt idx="58">
                  <c:v>45962</c:v>
                </c:pt>
                <c:pt idx="59">
                  <c:v>45992</c:v>
                </c:pt>
                <c:pt idx="60">
                  <c:v>46023</c:v>
                </c:pt>
                <c:pt idx="61">
                  <c:v>46054</c:v>
                </c:pt>
              </c:numCache>
            </c:numRef>
          </c:cat>
          <c:val>
            <c:numRef>
              <c:f>'Exportaciones tradicionales'!$AG$9:$AG$70</c:f>
              <c:numCache>
                <c:formatCode>0.000%</c:formatCode>
                <c:ptCount val="62"/>
                <c:pt idx="0">
                  <c:v>4.9887235786758029E-2</c:v>
                </c:pt>
                <c:pt idx="1">
                  <c:v>5.2539949131416235E-2</c:v>
                </c:pt>
                <c:pt idx="2">
                  <c:v>6.0486642991372429E-2</c:v>
                </c:pt>
                <c:pt idx="3">
                  <c:v>4.9492186928152236E-2</c:v>
                </c:pt>
                <c:pt idx="4">
                  <c:v>7.0209053347794842E-2</c:v>
                </c:pt>
                <c:pt idx="5">
                  <c:v>3.9562734710671565E-2</c:v>
                </c:pt>
                <c:pt idx="6">
                  <c:v>3.1000286771235827E-2</c:v>
                </c:pt>
                <c:pt idx="7">
                  <c:v>3.3068276329678015E-2</c:v>
                </c:pt>
                <c:pt idx="8">
                  <c:v>2.571212974608136E-2</c:v>
                </c:pt>
                <c:pt idx="9">
                  <c:v>3.9319552425244139E-2</c:v>
                </c:pt>
                <c:pt idx="10">
                  <c:v>3.4512729925951141E-2</c:v>
                </c:pt>
                <c:pt idx="11">
                  <c:v>3.6189440015354714E-2</c:v>
                </c:pt>
                <c:pt idx="12">
                  <c:v>3.7256620356050464E-2</c:v>
                </c:pt>
                <c:pt idx="13">
                  <c:v>6.1709289132380794E-2</c:v>
                </c:pt>
                <c:pt idx="14">
                  <c:v>4.6787358462058115E-2</c:v>
                </c:pt>
                <c:pt idx="15">
                  <c:v>3.4564375824508914E-2</c:v>
                </c:pt>
                <c:pt idx="16">
                  <c:v>5.4335740239311189E-2</c:v>
                </c:pt>
                <c:pt idx="17">
                  <c:v>3.1816540576051766E-2</c:v>
                </c:pt>
                <c:pt idx="18">
                  <c:v>2.4818305228683623E-2</c:v>
                </c:pt>
                <c:pt idx="19">
                  <c:v>3.2408282948463291E-2</c:v>
                </c:pt>
                <c:pt idx="20">
                  <c:v>2.6249204738130444E-2</c:v>
                </c:pt>
                <c:pt idx="21">
                  <c:v>3.418694054640295E-2</c:v>
                </c:pt>
                <c:pt idx="22">
                  <c:v>3.2845309643185792E-2</c:v>
                </c:pt>
                <c:pt idx="23">
                  <c:v>2.8541639563187112E-2</c:v>
                </c:pt>
                <c:pt idx="24">
                  <c:v>4.261902383347406E-2</c:v>
                </c:pt>
                <c:pt idx="25">
                  <c:v>5.3185324391244362E-2</c:v>
                </c:pt>
                <c:pt idx="26">
                  <c:v>4.8283263575140102E-2</c:v>
                </c:pt>
                <c:pt idx="27">
                  <c:v>3.9247508496264107E-2</c:v>
                </c:pt>
                <c:pt idx="28">
                  <c:v>5.0040071264502488E-2</c:v>
                </c:pt>
                <c:pt idx="29">
                  <c:v>4.3603769560182047E-2</c:v>
                </c:pt>
                <c:pt idx="30">
                  <c:v>5.1993009982711239E-2</c:v>
                </c:pt>
                <c:pt idx="31">
                  <c:v>3.3528022057433021E-2</c:v>
                </c:pt>
                <c:pt idx="32">
                  <c:v>3.33411603139337E-2</c:v>
                </c:pt>
                <c:pt idx="33">
                  <c:v>3.4672638852490216E-2</c:v>
                </c:pt>
                <c:pt idx="34">
                  <c:v>4.0533097874451703E-2</c:v>
                </c:pt>
                <c:pt idx="35">
                  <c:v>3.7319265698880111E-2</c:v>
                </c:pt>
                <c:pt idx="36">
                  <c:v>4.6463788770556784E-2</c:v>
                </c:pt>
                <c:pt idx="37">
                  <c:v>6.692548689978392E-2</c:v>
                </c:pt>
                <c:pt idx="38">
                  <c:v>5.7819395393176119E-2</c:v>
                </c:pt>
                <c:pt idx="39">
                  <c:v>4.0851925743016673E-2</c:v>
                </c:pt>
                <c:pt idx="40">
                  <c:v>5.7840847386847714E-2</c:v>
                </c:pt>
                <c:pt idx="41">
                  <c:v>5.2985567542792614E-2</c:v>
                </c:pt>
                <c:pt idx="42">
                  <c:v>4.6850639093797254E-2</c:v>
                </c:pt>
                <c:pt idx="43">
                  <c:v>3.9760213716405902E-2</c:v>
                </c:pt>
                <c:pt idx="44">
                  <c:v>4.1714596675891093E-2</c:v>
                </c:pt>
                <c:pt idx="45">
                  <c:v>4.1034903254533767E-2</c:v>
                </c:pt>
                <c:pt idx="46">
                  <c:v>4.2214706774284919E-2</c:v>
                </c:pt>
                <c:pt idx="47">
                  <c:v>4.534237974465307E-2</c:v>
                </c:pt>
                <c:pt idx="48">
                  <c:v>5.1031175876402192E-2</c:v>
                </c:pt>
                <c:pt idx="49">
                  <c:v>6.2275175811183879E-2</c:v>
                </c:pt>
                <c:pt idx="50">
                  <c:v>6.2759979650056724E-2</c:v>
                </c:pt>
                <c:pt idx="51">
                  <c:v>4.8307164741855556E-2</c:v>
                </c:pt>
                <c:pt idx="52">
                  <c:v>5.5614182801231239E-2</c:v>
                </c:pt>
                <c:pt idx="53">
                  <c:v>6.8254313468014402E-2</c:v>
                </c:pt>
                <c:pt idx="54">
                  <c:v>3.6714796694252781E-2</c:v>
                </c:pt>
                <c:pt idx="55">
                  <c:v>3.9504256937092239E-2</c:v>
                </c:pt>
                <c:pt idx="56">
                  <c:v>3.4356551712642201E-2</c:v>
                </c:pt>
                <c:pt idx="57">
                  <c:v>3.9683894547890577E-2</c:v>
                </c:pt>
                <c:pt idx="58">
                  <c:v>4.7980751181970191E-2</c:v>
                </c:pt>
                <c:pt idx="59">
                  <c:v>4.0753432524039644E-2</c:v>
                </c:pt>
                <c:pt idx="60">
                  <c:v>4.3686498788008489E-2</c:v>
                </c:pt>
                <c:pt idx="61">
                  <c:v>5.1791018420117567E-2</c:v>
                </c:pt>
              </c:numCache>
            </c:numRef>
          </c:val>
          <c:smooth val="0"/>
          <c:extLst>
            <c:ext xmlns:c16="http://schemas.microsoft.com/office/drawing/2014/chart" uri="{C3380CC4-5D6E-409C-BE32-E72D297353CC}">
              <c16:uniqueId val="{00000004-C2E2-3E4A-933D-94C575B6EAA8}"/>
            </c:ext>
          </c:extLst>
        </c:ser>
        <c:dLbls>
          <c:showLegendKey val="0"/>
          <c:showVal val="0"/>
          <c:showCatName val="0"/>
          <c:showSerName val="0"/>
          <c:showPercent val="0"/>
          <c:showBubbleSize val="0"/>
        </c:dLbls>
        <c:marker val="1"/>
        <c:smooth val="0"/>
        <c:axId val="129080207"/>
        <c:axId val="1830789024"/>
      </c:lineChart>
      <c:lineChart>
        <c:grouping val="standard"/>
        <c:varyColors val="0"/>
        <c:ser>
          <c:idx val="7"/>
          <c:order val="5"/>
          <c:tx>
            <c:strRef>
              <c:f>'Exportaciones tradicionales'!$AH$8</c:f>
              <c:strCache>
                <c:ptCount val="1"/>
                <c:pt idx="0">
                  <c:v>Exportaciones tradicionales (eje derecho)</c:v>
                </c:pt>
              </c:strCache>
            </c:strRef>
          </c:tx>
          <c:spPr>
            <a:ln w="28575" cap="rnd">
              <a:solidFill>
                <a:schemeClr val="accent2">
                  <a:lumMod val="60000"/>
                </a:schemeClr>
              </a:solidFill>
              <a:round/>
            </a:ln>
            <a:effectLst/>
          </c:spPr>
          <c:marker>
            <c:symbol val="none"/>
          </c:marker>
          <c:cat>
            <c:numRef>
              <c:f>'Exportaciones tradicionales'!$Z$9:$Z$70</c:f>
              <c:numCache>
                <c:formatCode>mmm\-yy</c:formatCode>
                <c:ptCount val="62"/>
                <c:pt idx="0">
                  <c:v>44197</c:v>
                </c:pt>
                <c:pt idx="1">
                  <c:v>44228</c:v>
                </c:pt>
                <c:pt idx="2">
                  <c:v>44256</c:v>
                </c:pt>
                <c:pt idx="3">
                  <c:v>44287</c:v>
                </c:pt>
                <c:pt idx="4">
                  <c:v>44317</c:v>
                </c:pt>
                <c:pt idx="5">
                  <c:v>44348</c:v>
                </c:pt>
                <c:pt idx="6">
                  <c:v>44378</c:v>
                </c:pt>
                <c:pt idx="7">
                  <c:v>44409</c:v>
                </c:pt>
                <c:pt idx="8">
                  <c:v>44440</c:v>
                </c:pt>
                <c:pt idx="9">
                  <c:v>44470</c:v>
                </c:pt>
                <c:pt idx="10">
                  <c:v>44501</c:v>
                </c:pt>
                <c:pt idx="11">
                  <c:v>44531</c:v>
                </c:pt>
                <c:pt idx="12">
                  <c:v>44562</c:v>
                </c:pt>
                <c:pt idx="13">
                  <c:v>44593</c:v>
                </c:pt>
                <c:pt idx="14">
                  <c:v>44621</c:v>
                </c:pt>
                <c:pt idx="15">
                  <c:v>44652</c:v>
                </c:pt>
                <c:pt idx="16">
                  <c:v>44682</c:v>
                </c:pt>
                <c:pt idx="17">
                  <c:v>44713</c:v>
                </c:pt>
                <c:pt idx="18">
                  <c:v>44743</c:v>
                </c:pt>
                <c:pt idx="19">
                  <c:v>44774</c:v>
                </c:pt>
                <c:pt idx="20">
                  <c:v>44805</c:v>
                </c:pt>
                <c:pt idx="21">
                  <c:v>44835</c:v>
                </c:pt>
                <c:pt idx="22">
                  <c:v>44866</c:v>
                </c:pt>
                <c:pt idx="23">
                  <c:v>44896</c:v>
                </c:pt>
                <c:pt idx="24">
                  <c:v>44927</c:v>
                </c:pt>
                <c:pt idx="25">
                  <c:v>44958</c:v>
                </c:pt>
                <c:pt idx="26">
                  <c:v>44986</c:v>
                </c:pt>
                <c:pt idx="27">
                  <c:v>45017</c:v>
                </c:pt>
                <c:pt idx="28">
                  <c:v>45047</c:v>
                </c:pt>
                <c:pt idx="29">
                  <c:v>45078</c:v>
                </c:pt>
                <c:pt idx="30">
                  <c:v>45108</c:v>
                </c:pt>
                <c:pt idx="31">
                  <c:v>45139</c:v>
                </c:pt>
                <c:pt idx="32">
                  <c:v>45170</c:v>
                </c:pt>
                <c:pt idx="33">
                  <c:v>45200</c:v>
                </c:pt>
                <c:pt idx="34">
                  <c:v>45231</c:v>
                </c:pt>
                <c:pt idx="35">
                  <c:v>45261</c:v>
                </c:pt>
                <c:pt idx="36">
                  <c:v>45292</c:v>
                </c:pt>
                <c:pt idx="37">
                  <c:v>45323</c:v>
                </c:pt>
                <c:pt idx="38">
                  <c:v>45352</c:v>
                </c:pt>
                <c:pt idx="39">
                  <c:v>45383</c:v>
                </c:pt>
                <c:pt idx="40">
                  <c:v>45413</c:v>
                </c:pt>
                <c:pt idx="41">
                  <c:v>45444</c:v>
                </c:pt>
                <c:pt idx="42">
                  <c:v>45474</c:v>
                </c:pt>
                <c:pt idx="43">
                  <c:v>45505</c:v>
                </c:pt>
                <c:pt idx="44">
                  <c:v>45536</c:v>
                </c:pt>
                <c:pt idx="45">
                  <c:v>45566</c:v>
                </c:pt>
                <c:pt idx="46">
                  <c:v>45597</c:v>
                </c:pt>
                <c:pt idx="47">
                  <c:v>45627</c:v>
                </c:pt>
                <c:pt idx="48">
                  <c:v>45658</c:v>
                </c:pt>
                <c:pt idx="49">
                  <c:v>45689</c:v>
                </c:pt>
                <c:pt idx="50">
                  <c:v>45717</c:v>
                </c:pt>
                <c:pt idx="51">
                  <c:v>45748</c:v>
                </c:pt>
                <c:pt idx="52">
                  <c:v>45778</c:v>
                </c:pt>
                <c:pt idx="53">
                  <c:v>45809</c:v>
                </c:pt>
                <c:pt idx="54">
                  <c:v>45839</c:v>
                </c:pt>
                <c:pt idx="55">
                  <c:v>45870</c:v>
                </c:pt>
                <c:pt idx="56">
                  <c:v>45901</c:v>
                </c:pt>
                <c:pt idx="57">
                  <c:v>45931</c:v>
                </c:pt>
                <c:pt idx="58">
                  <c:v>45962</c:v>
                </c:pt>
                <c:pt idx="59">
                  <c:v>45992</c:v>
                </c:pt>
                <c:pt idx="60">
                  <c:v>46023</c:v>
                </c:pt>
                <c:pt idx="61">
                  <c:v>46054</c:v>
                </c:pt>
              </c:numCache>
            </c:numRef>
          </c:cat>
          <c:val>
            <c:numRef>
              <c:f>'Exportaciones tradicionales'!$AH$9:$AH$70</c:f>
              <c:numCache>
                <c:formatCode>0.000%</c:formatCode>
                <c:ptCount val="62"/>
                <c:pt idx="0">
                  <c:v>0.56035880472659194</c:v>
                </c:pt>
                <c:pt idx="1">
                  <c:v>0.52418272283896983</c:v>
                </c:pt>
                <c:pt idx="2">
                  <c:v>0.50123807065453518</c:v>
                </c:pt>
                <c:pt idx="3">
                  <c:v>0.49360607227184472</c:v>
                </c:pt>
                <c:pt idx="4">
                  <c:v>0.54628203143991205</c:v>
                </c:pt>
                <c:pt idx="5">
                  <c:v>0.53583828409469181</c:v>
                </c:pt>
                <c:pt idx="6">
                  <c:v>0.51055148993695565</c:v>
                </c:pt>
                <c:pt idx="7">
                  <c:v>0.53926392629272268</c:v>
                </c:pt>
                <c:pt idx="8">
                  <c:v>0.58539380628928961</c:v>
                </c:pt>
                <c:pt idx="9">
                  <c:v>0.58132254146828655</c:v>
                </c:pt>
                <c:pt idx="10">
                  <c:v>0.58672068027975488</c:v>
                </c:pt>
                <c:pt idx="11">
                  <c:v>0.6001599629801152</c:v>
                </c:pt>
                <c:pt idx="12">
                  <c:v>0.63763321570920217</c:v>
                </c:pt>
                <c:pt idx="13">
                  <c:v>0.57533870779385088</c:v>
                </c:pt>
                <c:pt idx="14">
                  <c:v>0.60915599881024507</c:v>
                </c:pt>
                <c:pt idx="15">
                  <c:v>0.67733433169110013</c:v>
                </c:pt>
                <c:pt idx="16">
                  <c:v>0.58781447936713149</c:v>
                </c:pt>
                <c:pt idx="17">
                  <c:v>0.6744067434436779</c:v>
                </c:pt>
                <c:pt idx="18">
                  <c:v>0.69486522767351344</c:v>
                </c:pt>
                <c:pt idx="19">
                  <c:v>0.59512095079606797</c:v>
                </c:pt>
                <c:pt idx="20">
                  <c:v>0.62685914232341822</c:v>
                </c:pt>
                <c:pt idx="21">
                  <c:v>0.60246910761058237</c:v>
                </c:pt>
                <c:pt idx="22">
                  <c:v>0.62900015829248435</c:v>
                </c:pt>
                <c:pt idx="23">
                  <c:v>0.61493496955496851</c:v>
                </c:pt>
                <c:pt idx="24">
                  <c:v>0.61989827963120281</c:v>
                </c:pt>
                <c:pt idx="25">
                  <c:v>0.60868470085656279</c:v>
                </c:pt>
                <c:pt idx="26">
                  <c:v>0.5606587318983699</c:v>
                </c:pt>
                <c:pt idx="27">
                  <c:v>0.55741178168247218</c:v>
                </c:pt>
                <c:pt idx="28">
                  <c:v>0.54000634254896462</c:v>
                </c:pt>
                <c:pt idx="29">
                  <c:v>0.55390310789447128</c:v>
                </c:pt>
                <c:pt idx="30">
                  <c:v>0.57059360539245785</c:v>
                </c:pt>
                <c:pt idx="31">
                  <c:v>0.55795981384451365</c:v>
                </c:pt>
                <c:pt idx="32">
                  <c:v>0.57979645268901381</c:v>
                </c:pt>
                <c:pt idx="33">
                  <c:v>0.5714182019695957</c:v>
                </c:pt>
                <c:pt idx="34">
                  <c:v>0.55326279988179783</c:v>
                </c:pt>
                <c:pt idx="35">
                  <c:v>0.58510294206643221</c:v>
                </c:pt>
                <c:pt idx="36">
                  <c:v>0.54376872712910518</c:v>
                </c:pt>
                <c:pt idx="37">
                  <c:v>0.53253621855857625</c:v>
                </c:pt>
                <c:pt idx="38">
                  <c:v>0.55111048416523212</c:v>
                </c:pt>
                <c:pt idx="39">
                  <c:v>0.52587833421224695</c:v>
                </c:pt>
                <c:pt idx="40">
                  <c:v>0.5335882795989324</c:v>
                </c:pt>
                <c:pt idx="41">
                  <c:v>0.5381029559635393</c:v>
                </c:pt>
                <c:pt idx="42">
                  <c:v>0.55109879745833434</c:v>
                </c:pt>
                <c:pt idx="43">
                  <c:v>0.52326101313998552</c:v>
                </c:pt>
                <c:pt idx="44">
                  <c:v>0.49347532707223951</c:v>
                </c:pt>
                <c:pt idx="45">
                  <c:v>0.47608831879044372</c:v>
                </c:pt>
                <c:pt idx="46">
                  <c:v>0.53159563254534203</c:v>
                </c:pt>
                <c:pt idx="47">
                  <c:v>0.51789435360575753</c:v>
                </c:pt>
                <c:pt idx="48">
                  <c:v>0.50580194105655907</c:v>
                </c:pt>
                <c:pt idx="49">
                  <c:v>0.47169677071254923</c:v>
                </c:pt>
                <c:pt idx="50">
                  <c:v>0.51501906636735795</c:v>
                </c:pt>
                <c:pt idx="51">
                  <c:v>0.44962620941388848</c:v>
                </c:pt>
                <c:pt idx="52">
                  <c:v>0.47277060091403705</c:v>
                </c:pt>
                <c:pt idx="53">
                  <c:v>0.48146788179567951</c:v>
                </c:pt>
                <c:pt idx="54">
                  <c:v>0.47281038870741621</c:v>
                </c:pt>
                <c:pt idx="55">
                  <c:v>0.459135273343799</c:v>
                </c:pt>
                <c:pt idx="56">
                  <c:v>0.45648319432672951</c:v>
                </c:pt>
                <c:pt idx="57">
                  <c:v>0.45616286470323664</c:v>
                </c:pt>
                <c:pt idx="58">
                  <c:v>0.48156311981848016</c:v>
                </c:pt>
                <c:pt idx="59">
                  <c:v>0.43586418669734533</c:v>
                </c:pt>
                <c:pt idx="60">
                  <c:v>0.46067525850661611</c:v>
                </c:pt>
                <c:pt idx="61">
                  <c:v>0.39230756847364562</c:v>
                </c:pt>
              </c:numCache>
            </c:numRef>
          </c:val>
          <c:smooth val="0"/>
          <c:extLst>
            <c:ext xmlns:c16="http://schemas.microsoft.com/office/drawing/2014/chart" uri="{C3380CC4-5D6E-409C-BE32-E72D297353CC}">
              <c16:uniqueId val="{00000005-C2E2-3E4A-933D-94C575B6EAA8}"/>
            </c:ext>
          </c:extLst>
        </c:ser>
        <c:ser>
          <c:idx val="8"/>
          <c:order val="6"/>
          <c:tx>
            <c:strRef>
              <c:f>'Exportaciones tradicionales'!$AI$8</c:f>
              <c:strCache>
                <c:ptCount val="1"/>
                <c:pt idx="0">
                  <c:v>Exportaciones no tradicionales (eje derecho)</c:v>
                </c:pt>
              </c:strCache>
            </c:strRef>
          </c:tx>
          <c:spPr>
            <a:ln w="28575" cap="rnd">
              <a:solidFill>
                <a:schemeClr val="accent3">
                  <a:lumMod val="60000"/>
                </a:schemeClr>
              </a:solidFill>
              <a:round/>
            </a:ln>
            <a:effectLst/>
          </c:spPr>
          <c:marker>
            <c:symbol val="none"/>
          </c:marker>
          <c:cat>
            <c:numRef>
              <c:f>'Exportaciones tradicionales'!$Z$9:$Z$70</c:f>
              <c:numCache>
                <c:formatCode>mmm\-yy</c:formatCode>
                <c:ptCount val="62"/>
                <c:pt idx="0">
                  <c:v>44197</c:v>
                </c:pt>
                <c:pt idx="1">
                  <c:v>44228</c:v>
                </c:pt>
                <c:pt idx="2">
                  <c:v>44256</c:v>
                </c:pt>
                <c:pt idx="3">
                  <c:v>44287</c:v>
                </c:pt>
                <c:pt idx="4">
                  <c:v>44317</c:v>
                </c:pt>
                <c:pt idx="5">
                  <c:v>44348</c:v>
                </c:pt>
                <c:pt idx="6">
                  <c:v>44378</c:v>
                </c:pt>
                <c:pt idx="7">
                  <c:v>44409</c:v>
                </c:pt>
                <c:pt idx="8">
                  <c:v>44440</c:v>
                </c:pt>
                <c:pt idx="9">
                  <c:v>44470</c:v>
                </c:pt>
                <c:pt idx="10">
                  <c:v>44501</c:v>
                </c:pt>
                <c:pt idx="11">
                  <c:v>44531</c:v>
                </c:pt>
                <c:pt idx="12">
                  <c:v>44562</c:v>
                </c:pt>
                <c:pt idx="13">
                  <c:v>44593</c:v>
                </c:pt>
                <c:pt idx="14">
                  <c:v>44621</c:v>
                </c:pt>
                <c:pt idx="15">
                  <c:v>44652</c:v>
                </c:pt>
                <c:pt idx="16">
                  <c:v>44682</c:v>
                </c:pt>
                <c:pt idx="17">
                  <c:v>44713</c:v>
                </c:pt>
                <c:pt idx="18">
                  <c:v>44743</c:v>
                </c:pt>
                <c:pt idx="19">
                  <c:v>44774</c:v>
                </c:pt>
                <c:pt idx="20">
                  <c:v>44805</c:v>
                </c:pt>
                <c:pt idx="21">
                  <c:v>44835</c:v>
                </c:pt>
                <c:pt idx="22">
                  <c:v>44866</c:v>
                </c:pt>
                <c:pt idx="23">
                  <c:v>44896</c:v>
                </c:pt>
                <c:pt idx="24">
                  <c:v>44927</c:v>
                </c:pt>
                <c:pt idx="25">
                  <c:v>44958</c:v>
                </c:pt>
                <c:pt idx="26">
                  <c:v>44986</c:v>
                </c:pt>
                <c:pt idx="27">
                  <c:v>45017</c:v>
                </c:pt>
                <c:pt idx="28">
                  <c:v>45047</c:v>
                </c:pt>
                <c:pt idx="29">
                  <c:v>45078</c:v>
                </c:pt>
                <c:pt idx="30">
                  <c:v>45108</c:v>
                </c:pt>
                <c:pt idx="31">
                  <c:v>45139</c:v>
                </c:pt>
                <c:pt idx="32">
                  <c:v>45170</c:v>
                </c:pt>
                <c:pt idx="33">
                  <c:v>45200</c:v>
                </c:pt>
                <c:pt idx="34">
                  <c:v>45231</c:v>
                </c:pt>
                <c:pt idx="35">
                  <c:v>45261</c:v>
                </c:pt>
                <c:pt idx="36">
                  <c:v>45292</c:v>
                </c:pt>
                <c:pt idx="37">
                  <c:v>45323</c:v>
                </c:pt>
                <c:pt idx="38">
                  <c:v>45352</c:v>
                </c:pt>
                <c:pt idx="39">
                  <c:v>45383</c:v>
                </c:pt>
                <c:pt idx="40">
                  <c:v>45413</c:v>
                </c:pt>
                <c:pt idx="41">
                  <c:v>45444</c:v>
                </c:pt>
                <c:pt idx="42">
                  <c:v>45474</c:v>
                </c:pt>
                <c:pt idx="43">
                  <c:v>45505</c:v>
                </c:pt>
                <c:pt idx="44">
                  <c:v>45536</c:v>
                </c:pt>
                <c:pt idx="45">
                  <c:v>45566</c:v>
                </c:pt>
                <c:pt idx="46">
                  <c:v>45597</c:v>
                </c:pt>
                <c:pt idx="47">
                  <c:v>45627</c:v>
                </c:pt>
                <c:pt idx="48">
                  <c:v>45658</c:v>
                </c:pt>
                <c:pt idx="49">
                  <c:v>45689</c:v>
                </c:pt>
                <c:pt idx="50">
                  <c:v>45717</c:v>
                </c:pt>
                <c:pt idx="51">
                  <c:v>45748</c:v>
                </c:pt>
                <c:pt idx="52">
                  <c:v>45778</c:v>
                </c:pt>
                <c:pt idx="53">
                  <c:v>45809</c:v>
                </c:pt>
                <c:pt idx="54">
                  <c:v>45839</c:v>
                </c:pt>
                <c:pt idx="55">
                  <c:v>45870</c:v>
                </c:pt>
                <c:pt idx="56">
                  <c:v>45901</c:v>
                </c:pt>
                <c:pt idx="57">
                  <c:v>45931</c:v>
                </c:pt>
                <c:pt idx="58">
                  <c:v>45962</c:v>
                </c:pt>
                <c:pt idx="59">
                  <c:v>45992</c:v>
                </c:pt>
                <c:pt idx="60">
                  <c:v>46023</c:v>
                </c:pt>
                <c:pt idx="61">
                  <c:v>46054</c:v>
                </c:pt>
              </c:numCache>
            </c:numRef>
          </c:cat>
          <c:val>
            <c:numRef>
              <c:f>'Exportaciones tradicionales'!$AI$9:$AI$70</c:f>
              <c:numCache>
                <c:formatCode>0.000%</c:formatCode>
                <c:ptCount val="62"/>
                <c:pt idx="0">
                  <c:v>0.43964119527340806</c:v>
                </c:pt>
                <c:pt idx="1">
                  <c:v>0.47581727716103023</c:v>
                </c:pt>
                <c:pt idx="2">
                  <c:v>0.49876192934546482</c:v>
                </c:pt>
                <c:pt idx="3">
                  <c:v>0.50639392772815528</c:v>
                </c:pt>
                <c:pt idx="4">
                  <c:v>0.45371796856008795</c:v>
                </c:pt>
                <c:pt idx="5">
                  <c:v>0.46416171590530825</c:v>
                </c:pt>
                <c:pt idx="6">
                  <c:v>0.48944851006304435</c:v>
                </c:pt>
                <c:pt idx="7">
                  <c:v>0.46073607370727732</c:v>
                </c:pt>
                <c:pt idx="8">
                  <c:v>0.41460619371071045</c:v>
                </c:pt>
                <c:pt idx="9">
                  <c:v>0.41867745853171345</c:v>
                </c:pt>
                <c:pt idx="10">
                  <c:v>0.41327931972024512</c:v>
                </c:pt>
                <c:pt idx="11">
                  <c:v>0.39984003701988474</c:v>
                </c:pt>
                <c:pt idx="12">
                  <c:v>0.36236678429079788</c:v>
                </c:pt>
                <c:pt idx="13">
                  <c:v>0.42466129220614918</c:v>
                </c:pt>
                <c:pt idx="14">
                  <c:v>0.39084400118975493</c:v>
                </c:pt>
                <c:pt idx="15">
                  <c:v>0.32266566830889981</c:v>
                </c:pt>
                <c:pt idx="16">
                  <c:v>0.41218552063286856</c:v>
                </c:pt>
                <c:pt idx="17">
                  <c:v>0.3255932565563221</c:v>
                </c:pt>
                <c:pt idx="18">
                  <c:v>0.30513477232648661</c:v>
                </c:pt>
                <c:pt idx="19">
                  <c:v>0.40487904920393197</c:v>
                </c:pt>
                <c:pt idx="20">
                  <c:v>0.37314085767658178</c:v>
                </c:pt>
                <c:pt idx="21">
                  <c:v>0.39753089238941769</c:v>
                </c:pt>
                <c:pt idx="22">
                  <c:v>0.37099984170751565</c:v>
                </c:pt>
                <c:pt idx="23">
                  <c:v>0.38506503044503149</c:v>
                </c:pt>
                <c:pt idx="24">
                  <c:v>0.38010172036879719</c:v>
                </c:pt>
                <c:pt idx="25">
                  <c:v>0.39131529914343716</c:v>
                </c:pt>
                <c:pt idx="26">
                  <c:v>0.4393412681016301</c:v>
                </c:pt>
                <c:pt idx="27">
                  <c:v>0.44258821831752782</c:v>
                </c:pt>
                <c:pt idx="28">
                  <c:v>0.45999365745103538</c:v>
                </c:pt>
                <c:pt idx="29">
                  <c:v>0.44609689210552872</c:v>
                </c:pt>
                <c:pt idx="30">
                  <c:v>0.42940639460754215</c:v>
                </c:pt>
                <c:pt idx="31">
                  <c:v>0.44204018615548635</c:v>
                </c:pt>
                <c:pt idx="32">
                  <c:v>0.42020354731098619</c:v>
                </c:pt>
                <c:pt idx="33">
                  <c:v>0.42858179803040436</c:v>
                </c:pt>
                <c:pt idx="34">
                  <c:v>0.44673720011820217</c:v>
                </c:pt>
                <c:pt idx="35">
                  <c:v>0.41489705793356785</c:v>
                </c:pt>
                <c:pt idx="36">
                  <c:v>0.45623127287089482</c:v>
                </c:pt>
                <c:pt idx="37">
                  <c:v>0.46746378144142375</c:v>
                </c:pt>
                <c:pt idx="38">
                  <c:v>0.44888951583476788</c:v>
                </c:pt>
                <c:pt idx="39">
                  <c:v>0.47412166578775311</c:v>
                </c:pt>
                <c:pt idx="40">
                  <c:v>0.46641172040106754</c:v>
                </c:pt>
                <c:pt idx="41">
                  <c:v>0.46189704403646065</c:v>
                </c:pt>
                <c:pt idx="42">
                  <c:v>0.44890120254166566</c:v>
                </c:pt>
                <c:pt idx="43">
                  <c:v>0.47673898686001448</c:v>
                </c:pt>
                <c:pt idx="44">
                  <c:v>0.50652467292776049</c:v>
                </c:pt>
                <c:pt idx="45">
                  <c:v>0.52391168120955622</c:v>
                </c:pt>
                <c:pt idx="46">
                  <c:v>0.46840436745465802</c:v>
                </c:pt>
                <c:pt idx="47">
                  <c:v>0.48210564639424247</c:v>
                </c:pt>
                <c:pt idx="48">
                  <c:v>0.49419805894344093</c:v>
                </c:pt>
                <c:pt idx="49">
                  <c:v>0.52830322928745077</c:v>
                </c:pt>
                <c:pt idx="50">
                  <c:v>0.48498093363264205</c:v>
                </c:pt>
                <c:pt idx="51">
                  <c:v>0.55037379058611158</c:v>
                </c:pt>
                <c:pt idx="52">
                  <c:v>0.527229399085963</c:v>
                </c:pt>
                <c:pt idx="53">
                  <c:v>0.51853211820432044</c:v>
                </c:pt>
                <c:pt idx="54">
                  <c:v>0.52718961129258379</c:v>
                </c:pt>
                <c:pt idx="55">
                  <c:v>0.540864726656201</c:v>
                </c:pt>
                <c:pt idx="56">
                  <c:v>0.54351680567327054</c:v>
                </c:pt>
                <c:pt idx="57">
                  <c:v>0.54383713529676336</c:v>
                </c:pt>
                <c:pt idx="58">
                  <c:v>0.5184368801815199</c:v>
                </c:pt>
                <c:pt idx="59">
                  <c:v>0.56413581330265461</c:v>
                </c:pt>
                <c:pt idx="60">
                  <c:v>0.53932474149338383</c:v>
                </c:pt>
                <c:pt idx="61">
                  <c:v>0.60769243152635444</c:v>
                </c:pt>
              </c:numCache>
            </c:numRef>
          </c:val>
          <c:smooth val="0"/>
          <c:extLst>
            <c:ext xmlns:c16="http://schemas.microsoft.com/office/drawing/2014/chart" uri="{C3380CC4-5D6E-409C-BE32-E72D297353CC}">
              <c16:uniqueId val="{00000006-C2E2-3E4A-933D-94C575B6EAA8}"/>
            </c:ext>
          </c:extLst>
        </c:ser>
        <c:dLbls>
          <c:showLegendKey val="0"/>
          <c:showVal val="0"/>
          <c:showCatName val="0"/>
          <c:showSerName val="0"/>
          <c:showPercent val="0"/>
          <c:showBubbleSize val="0"/>
        </c:dLbls>
        <c:marker val="1"/>
        <c:smooth val="0"/>
        <c:axId val="1767676560"/>
        <c:axId val="1767673600"/>
      </c:lineChart>
      <c:dateAx>
        <c:axId val="129080207"/>
        <c:scaling>
          <c:orientation val="minMax"/>
        </c:scaling>
        <c:delete val="0"/>
        <c:axPos val="b"/>
        <c:numFmt formatCode="mmm\-yy"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crossAx val="1830789024"/>
        <c:crosses val="autoZero"/>
        <c:auto val="1"/>
        <c:lblOffset val="100"/>
        <c:baseTimeUnit val="months"/>
      </c:dateAx>
      <c:valAx>
        <c:axId val="1830789024"/>
        <c:scaling>
          <c:orientation val="minMax"/>
          <c:max val="0.5"/>
        </c:scaling>
        <c:delete val="0"/>
        <c:axPos val="l"/>
        <c:majorGridlines>
          <c:spPr>
            <a:ln w="9525" cap="flat" cmpd="sng" algn="ctr">
              <a:solidFill>
                <a:schemeClr val="tx1">
                  <a:lumMod val="15000"/>
                  <a:lumOff val="85000"/>
                </a:schemeClr>
              </a:solidFill>
              <a:round/>
            </a:ln>
            <a:effectLst/>
          </c:spPr>
        </c:majorGridlines>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crossAx val="129080207"/>
        <c:crosses val="autoZero"/>
        <c:crossBetween val="between"/>
      </c:valAx>
      <c:valAx>
        <c:axId val="1767673600"/>
        <c:scaling>
          <c:orientation val="minMax"/>
          <c:max val="0.70000000000000007"/>
        </c:scaling>
        <c:delete val="0"/>
        <c:axPos val="r"/>
        <c:numFmt formatCode="0%" sourceLinked="0"/>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crossAx val="1767676560"/>
        <c:crosses val="max"/>
        <c:crossBetween val="between"/>
      </c:valAx>
      <c:dateAx>
        <c:axId val="1767676560"/>
        <c:scaling>
          <c:orientation val="minMax"/>
        </c:scaling>
        <c:delete val="1"/>
        <c:axPos val="b"/>
        <c:numFmt formatCode="mmm\-yy" sourceLinked="1"/>
        <c:majorTickMark val="out"/>
        <c:minorTickMark val="none"/>
        <c:tickLblPos val="nextTo"/>
        <c:crossAx val="1767673600"/>
        <c:crosses val="autoZero"/>
        <c:auto val="1"/>
        <c:lblOffset val="100"/>
        <c:baseTimeUnit val="months"/>
        <c:majorUnit val="1"/>
        <c:minorUnit val="1"/>
      </c:date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s-CO"/>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stacked"/>
        <c:varyColors val="0"/>
        <c:ser>
          <c:idx val="0"/>
          <c:order val="0"/>
          <c:tx>
            <c:strRef>
              <c:f>'Cuenta Financiera '!$C$1</c:f>
              <c:strCache>
                <c:ptCount val="1"/>
                <c:pt idx="0">
                  <c:v>Inversión Directa</c:v>
                </c:pt>
              </c:strCache>
            </c:strRef>
          </c:tx>
          <c:spPr>
            <a:solidFill>
              <a:schemeClr val="accent2"/>
            </a:solidFill>
            <a:ln>
              <a:noFill/>
            </a:ln>
            <a:effectLst/>
          </c:spPr>
          <c:invertIfNegative val="0"/>
          <c:dLbls>
            <c:dLbl>
              <c:idx val="12"/>
              <c:layout>
                <c:manualLayout>
                  <c:x val="-4.0632445615711131E-3"/>
                  <c:y val="3.0093510251579376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8C80-4A42-8492-7EB812AE39CE}"/>
                </c:ext>
              </c:extLst>
            </c:dLbl>
            <c:dLbl>
              <c:idx val="13"/>
              <c:dLblPos val="inBase"/>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8C80-4A42-8492-7EB812AE39CE}"/>
                </c:ext>
              </c:extLst>
            </c:dLbl>
            <c:dLbl>
              <c:idx val="16"/>
              <c:layout>
                <c:manualLayout>
                  <c:x val="-2.0316222807855566E-3"/>
                  <c:y val="4.213115130898476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8C80-4A42-8492-7EB812AE39CE}"/>
                </c:ext>
              </c:extLst>
            </c:dLbl>
            <c:dLbl>
              <c:idx val="17"/>
              <c:layout>
                <c:manualLayout>
                  <c:x val="2.0316222807854074E-3"/>
                  <c:y val="-9.0280530754738124E-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8C80-4A42-8492-7EB812AE39CE}"/>
                </c:ext>
              </c:extLst>
            </c:dLbl>
            <c:numFmt formatCode="##,###,###,###,###,###,###,###,###,##0" sourceLinked="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accent2">
                        <a:lumMod val="75000"/>
                      </a:schemeClr>
                    </a:solidFill>
                    <a:latin typeface="+mn-lt"/>
                    <a:ea typeface="+mn-ea"/>
                    <a:cs typeface="+mn-cs"/>
                  </a:defRPr>
                </a:pPr>
                <a:endParaRPr lang="es-CO"/>
              </a:p>
            </c:txPr>
            <c:showLegendKey val="0"/>
            <c:showVal val="0"/>
            <c:showCatName val="0"/>
            <c:showSerName val="0"/>
            <c:showPercent val="0"/>
            <c:showBubbleSize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'Cuenta Financiera '!$A$2:$B$21</c:f>
              <c:multiLvlStrCache>
                <c:ptCount val="20"/>
                <c:lvl>
                  <c:pt idx="0">
                    <c:v>I</c:v>
                  </c:pt>
                  <c:pt idx="1">
                    <c:v>II</c:v>
                  </c:pt>
                  <c:pt idx="2">
                    <c:v>III</c:v>
                  </c:pt>
                  <c:pt idx="3">
                    <c:v>IV</c:v>
                  </c:pt>
                  <c:pt idx="4">
                    <c:v>I</c:v>
                  </c:pt>
                  <c:pt idx="5">
                    <c:v>II</c:v>
                  </c:pt>
                  <c:pt idx="6">
                    <c:v>III</c:v>
                  </c:pt>
                  <c:pt idx="7">
                    <c:v>IV</c:v>
                  </c:pt>
                  <c:pt idx="8">
                    <c:v>I</c:v>
                  </c:pt>
                  <c:pt idx="9">
                    <c:v>II</c:v>
                  </c:pt>
                  <c:pt idx="10">
                    <c:v>III</c:v>
                  </c:pt>
                  <c:pt idx="11">
                    <c:v>IV</c:v>
                  </c:pt>
                  <c:pt idx="12">
                    <c:v>I</c:v>
                  </c:pt>
                  <c:pt idx="13">
                    <c:v>II</c:v>
                  </c:pt>
                  <c:pt idx="14">
                    <c:v>III</c:v>
                  </c:pt>
                  <c:pt idx="15">
                    <c:v>IV</c:v>
                  </c:pt>
                  <c:pt idx="16">
                    <c:v>I</c:v>
                  </c:pt>
                  <c:pt idx="17">
                    <c:v>II</c:v>
                  </c:pt>
                  <c:pt idx="18">
                    <c:v>III</c:v>
                  </c:pt>
                  <c:pt idx="19">
                    <c:v>IV</c:v>
                  </c:pt>
                </c:lvl>
                <c:lvl>
                  <c:pt idx="0">
                    <c:v>2021</c:v>
                  </c:pt>
                  <c:pt idx="4">
                    <c:v>2022</c:v>
                  </c:pt>
                  <c:pt idx="8">
                    <c:v>2023</c:v>
                  </c:pt>
                  <c:pt idx="12">
                    <c:v>2024</c:v>
                  </c:pt>
                  <c:pt idx="16">
                    <c:v>2025</c:v>
                  </c:pt>
                </c:lvl>
              </c:multiLvlStrCache>
            </c:multiLvlStrRef>
          </c:cat>
          <c:val>
            <c:numRef>
              <c:f>'Cuenta Financiera '!$C$2:$C$21</c:f>
              <c:numCache>
                <c:formatCode>#,##0.00_);\(#,##0.00\)</c:formatCode>
                <c:ptCount val="20"/>
                <c:pt idx="0">
                  <c:v>-1438.1447740000001</c:v>
                </c:pt>
                <c:pt idx="1">
                  <c:v>-1012.617587</c:v>
                </c:pt>
                <c:pt idx="2">
                  <c:v>-2527.8875939999998</c:v>
                </c:pt>
                <c:pt idx="3">
                  <c:v>-1401.8715480000001</c:v>
                </c:pt>
                <c:pt idx="4">
                  <c:v>-3650.5735209999998</c:v>
                </c:pt>
                <c:pt idx="5">
                  <c:v>-3660.5871059999999</c:v>
                </c:pt>
                <c:pt idx="6">
                  <c:v>-2958.9113550000002</c:v>
                </c:pt>
                <c:pt idx="7">
                  <c:v>-3528.6486420000001</c:v>
                </c:pt>
                <c:pt idx="8">
                  <c:v>-3600.4136250000001</c:v>
                </c:pt>
                <c:pt idx="9">
                  <c:v>-5441.7419250000003</c:v>
                </c:pt>
                <c:pt idx="10">
                  <c:v>-3334.7105759999999</c:v>
                </c:pt>
                <c:pt idx="11">
                  <c:v>-3148.039894</c:v>
                </c:pt>
                <c:pt idx="12">
                  <c:v>-2407.8678650000002</c:v>
                </c:pt>
                <c:pt idx="13">
                  <c:v>-1646.3809650000001</c:v>
                </c:pt>
                <c:pt idx="14">
                  <c:v>-2455.6266839999998</c:v>
                </c:pt>
                <c:pt idx="15">
                  <c:v>-2662.207457</c:v>
                </c:pt>
                <c:pt idx="16">
                  <c:v>-2127.9737500000001</c:v>
                </c:pt>
                <c:pt idx="17">
                  <c:v>-1561.2484030000001</c:v>
                </c:pt>
                <c:pt idx="18">
                  <c:v>-1858.9645599999999</c:v>
                </c:pt>
                <c:pt idx="19">
                  <c:v>-1761.7595699999999</c:v>
                </c:pt>
              </c:numCache>
            </c:numRef>
          </c:val>
          <c:extLst>
            <c:ext xmlns:c16="http://schemas.microsoft.com/office/drawing/2014/chart" uri="{C3380CC4-5D6E-409C-BE32-E72D297353CC}">
              <c16:uniqueId val="{00000004-8C80-4A42-8492-7EB812AE39CE}"/>
            </c:ext>
          </c:extLst>
        </c:ser>
        <c:ser>
          <c:idx val="1"/>
          <c:order val="1"/>
          <c:tx>
            <c:strRef>
              <c:f>'Cuenta Financiera '!$D$1</c:f>
              <c:strCache>
                <c:ptCount val="1"/>
                <c:pt idx="0">
                  <c:v>Inversión de Cartera</c:v>
                </c:pt>
              </c:strCache>
            </c:strRef>
          </c:tx>
          <c:spPr>
            <a:solidFill>
              <a:schemeClr val="accent4"/>
            </a:solidFill>
            <a:ln>
              <a:noFill/>
            </a:ln>
            <a:effectLst/>
          </c:spPr>
          <c:invertIfNegative val="0"/>
          <c:dLbls>
            <c:dLbl>
              <c:idx val="12"/>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8C80-4A42-8492-7EB812AE39CE}"/>
                </c:ext>
              </c:extLst>
            </c:dLbl>
            <c:dLbl>
              <c:idx val="13"/>
              <c:layout>
                <c:manualLayout>
                  <c:x val="-1.4872242415914758E-16"/>
                  <c:y val="-2.9896878697850911E-2"/>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8C80-4A42-8492-7EB812AE39CE}"/>
                </c:ext>
              </c:extLst>
            </c:dLbl>
            <c:dLbl>
              <c:idx val="16"/>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8C80-4A42-8492-7EB812AE39CE}"/>
                </c:ext>
              </c:extLst>
            </c:dLbl>
            <c:dLbl>
              <c:idx val="17"/>
              <c:layout>
                <c:manualLayout>
                  <c:x val="-1.9065147586643629E-3"/>
                  <c:y val="-1.6628455762884986E-4"/>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8C80-4A42-8492-7EB812AE39CE}"/>
                </c:ext>
              </c:extLst>
            </c:dLbl>
            <c:numFmt formatCode="##,###,###,###,###,###,###,###,###,##0" sourceLinked="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rgbClr val="D6A300"/>
                    </a:solidFill>
                    <a:latin typeface="+mn-lt"/>
                    <a:ea typeface="+mn-ea"/>
                    <a:cs typeface="+mn-cs"/>
                  </a:defRPr>
                </a:pPr>
                <a:endParaRPr lang="es-CO"/>
              </a:p>
            </c:txPr>
            <c:dLblPos val="ctr"/>
            <c:showLegendKey val="0"/>
            <c:showVal val="0"/>
            <c:showCatName val="0"/>
            <c:showSerName val="0"/>
            <c:showPercent val="0"/>
            <c:showBubbleSize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'Cuenta Financiera '!$A$2:$B$21</c:f>
              <c:multiLvlStrCache>
                <c:ptCount val="20"/>
                <c:lvl>
                  <c:pt idx="0">
                    <c:v>I</c:v>
                  </c:pt>
                  <c:pt idx="1">
                    <c:v>II</c:v>
                  </c:pt>
                  <c:pt idx="2">
                    <c:v>III</c:v>
                  </c:pt>
                  <c:pt idx="3">
                    <c:v>IV</c:v>
                  </c:pt>
                  <c:pt idx="4">
                    <c:v>I</c:v>
                  </c:pt>
                  <c:pt idx="5">
                    <c:v>II</c:v>
                  </c:pt>
                  <c:pt idx="6">
                    <c:v>III</c:v>
                  </c:pt>
                  <c:pt idx="7">
                    <c:v>IV</c:v>
                  </c:pt>
                  <c:pt idx="8">
                    <c:v>I</c:v>
                  </c:pt>
                  <c:pt idx="9">
                    <c:v>II</c:v>
                  </c:pt>
                  <c:pt idx="10">
                    <c:v>III</c:v>
                  </c:pt>
                  <c:pt idx="11">
                    <c:v>IV</c:v>
                  </c:pt>
                  <c:pt idx="12">
                    <c:v>I</c:v>
                  </c:pt>
                  <c:pt idx="13">
                    <c:v>II</c:v>
                  </c:pt>
                  <c:pt idx="14">
                    <c:v>III</c:v>
                  </c:pt>
                  <c:pt idx="15">
                    <c:v>IV</c:v>
                  </c:pt>
                  <c:pt idx="16">
                    <c:v>I</c:v>
                  </c:pt>
                  <c:pt idx="17">
                    <c:v>II</c:v>
                  </c:pt>
                  <c:pt idx="18">
                    <c:v>III</c:v>
                  </c:pt>
                  <c:pt idx="19">
                    <c:v>IV</c:v>
                  </c:pt>
                </c:lvl>
                <c:lvl>
                  <c:pt idx="0">
                    <c:v>2021</c:v>
                  </c:pt>
                  <c:pt idx="4">
                    <c:v>2022</c:v>
                  </c:pt>
                  <c:pt idx="8">
                    <c:v>2023</c:v>
                  </c:pt>
                  <c:pt idx="12">
                    <c:v>2024</c:v>
                  </c:pt>
                  <c:pt idx="16">
                    <c:v>2025</c:v>
                  </c:pt>
                </c:lvl>
              </c:multiLvlStrCache>
            </c:multiLvlStrRef>
          </c:cat>
          <c:val>
            <c:numRef>
              <c:f>'Cuenta Financiera '!$D$2:$D$21</c:f>
              <c:numCache>
                <c:formatCode>#,##0.00_);\(#,##0.00\)</c:formatCode>
                <c:ptCount val="20"/>
                <c:pt idx="0">
                  <c:v>1318.8280556</c:v>
                </c:pt>
                <c:pt idx="1">
                  <c:v>-6089.3846750000002</c:v>
                </c:pt>
                <c:pt idx="2">
                  <c:v>850.56586331999995</c:v>
                </c:pt>
                <c:pt idx="3">
                  <c:v>-675.38217320000001</c:v>
                </c:pt>
                <c:pt idx="4">
                  <c:v>1865.9167996000001</c:v>
                </c:pt>
                <c:pt idx="5">
                  <c:v>-759.03031510000005</c:v>
                </c:pt>
                <c:pt idx="6">
                  <c:v>-233.03538560000001</c:v>
                </c:pt>
                <c:pt idx="7">
                  <c:v>-446.84972670000002</c:v>
                </c:pt>
                <c:pt idx="8">
                  <c:v>1111.2809603000001</c:v>
                </c:pt>
                <c:pt idx="9">
                  <c:v>1519.8078743000001</c:v>
                </c:pt>
                <c:pt idx="10">
                  <c:v>4527.3294861000004</c:v>
                </c:pt>
                <c:pt idx="11">
                  <c:v>1504.3073412000001</c:v>
                </c:pt>
                <c:pt idx="12">
                  <c:v>1415.8371325000001</c:v>
                </c:pt>
                <c:pt idx="13">
                  <c:v>-451.2502465</c:v>
                </c:pt>
                <c:pt idx="14">
                  <c:v>3489.4302171999998</c:v>
                </c:pt>
                <c:pt idx="15">
                  <c:v>-2182.4410849999999</c:v>
                </c:pt>
                <c:pt idx="16">
                  <c:v>2941.0469398999999</c:v>
                </c:pt>
                <c:pt idx="17">
                  <c:v>-3760.1064540000002</c:v>
                </c:pt>
                <c:pt idx="18">
                  <c:v>-4963.3955640000004</c:v>
                </c:pt>
                <c:pt idx="19">
                  <c:v>-1697.9149159999999</c:v>
                </c:pt>
              </c:numCache>
            </c:numRef>
          </c:val>
          <c:extLst>
            <c:ext xmlns:c16="http://schemas.microsoft.com/office/drawing/2014/chart" uri="{C3380CC4-5D6E-409C-BE32-E72D297353CC}">
              <c16:uniqueId val="{00000009-8C80-4A42-8492-7EB812AE39CE}"/>
            </c:ext>
          </c:extLst>
        </c:ser>
        <c:ser>
          <c:idx val="2"/>
          <c:order val="2"/>
          <c:tx>
            <c:strRef>
              <c:f>'Cuenta Financiera '!$E$1</c:f>
              <c:strCache>
                <c:ptCount val="1"/>
                <c:pt idx="0">
                  <c:v>Derivados Financieros </c:v>
                </c:pt>
              </c:strCache>
            </c:strRef>
          </c:tx>
          <c:spPr>
            <a:solidFill>
              <a:schemeClr val="accent6"/>
            </a:solidFill>
            <a:ln>
              <a:noFill/>
            </a:ln>
            <a:effectLst/>
          </c:spPr>
          <c:invertIfNegative val="0"/>
          <c:dLbls>
            <c:dLbl>
              <c:idx val="1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A-8C80-4A42-8492-7EB812AE39CE}"/>
                </c:ext>
              </c:extLst>
            </c:dLbl>
            <c:dLbl>
              <c:idx val="13"/>
              <c:layout>
                <c:manualLayout>
                  <c:x val="2.230289344605051E-2"/>
                  <c:y val="-1.4951024589241357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B-8C80-4A42-8492-7EB812AE39CE}"/>
                </c:ext>
              </c:extLst>
            </c:dLbl>
            <c:dLbl>
              <c:idx val="16"/>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C-8C80-4A42-8492-7EB812AE39CE}"/>
                </c:ext>
              </c:extLst>
            </c:dLbl>
            <c:dLbl>
              <c:idx val="17"/>
              <c:layout>
                <c:manualLayout>
                  <c:x val="-1.4923350425127771E-16"/>
                  <c:y val="-2.9912377930412033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D-8C80-4A42-8492-7EB812AE39CE}"/>
                </c:ext>
              </c:extLst>
            </c:dLbl>
            <c:numFmt formatCode="##,###,###,###,###,###,###,###,###,##0" sourceLinked="0"/>
            <c:spPr>
              <a:noFill/>
              <a:ln>
                <a:noFill/>
              </a:ln>
              <a:effectLst/>
            </c:spPr>
            <c:txPr>
              <a:bodyPr rot="0" spcFirstLastPara="1" vertOverflow="ellipsis" vert="horz" wrap="square" lIns="38100" tIns="19050" rIns="38100" bIns="19050" anchor="ctr" anchorCtr="0">
                <a:spAutoFit/>
              </a:bodyPr>
              <a:lstStyle/>
              <a:p>
                <a:pPr algn="ctr">
                  <a:defRPr lang="en-US" sz="900" b="1" i="0" u="none" strike="noStrike" kern="1200" baseline="0">
                    <a:solidFill>
                      <a:schemeClr val="accent6">
                        <a:lumMod val="75000"/>
                      </a:schemeClr>
                    </a:solidFill>
                    <a:latin typeface="+mn-lt"/>
                    <a:ea typeface="+mn-ea"/>
                    <a:cs typeface="+mn-cs"/>
                  </a:defRPr>
                </a:pPr>
                <a:endParaRPr lang="es-CO"/>
              </a:p>
            </c:txPr>
            <c:showLegendKey val="0"/>
            <c:showVal val="0"/>
            <c:showCatName val="0"/>
            <c:showSerName val="0"/>
            <c:showPercent val="0"/>
            <c:showBubbleSize val="0"/>
            <c:extLst>
              <c:ext xmlns:c15="http://schemas.microsoft.com/office/drawing/2012/chart" uri="{CE6537A1-D6FC-4f65-9D91-7224C49458BB}">
                <c15:showLeaderLines val="0"/>
              </c:ext>
            </c:extLst>
          </c:dLbls>
          <c:cat>
            <c:multiLvlStrRef>
              <c:f>'Cuenta Financiera '!$A$2:$B$21</c:f>
              <c:multiLvlStrCache>
                <c:ptCount val="20"/>
                <c:lvl>
                  <c:pt idx="0">
                    <c:v>I</c:v>
                  </c:pt>
                  <c:pt idx="1">
                    <c:v>II</c:v>
                  </c:pt>
                  <c:pt idx="2">
                    <c:v>III</c:v>
                  </c:pt>
                  <c:pt idx="3">
                    <c:v>IV</c:v>
                  </c:pt>
                  <c:pt idx="4">
                    <c:v>I</c:v>
                  </c:pt>
                  <c:pt idx="5">
                    <c:v>II</c:v>
                  </c:pt>
                  <c:pt idx="6">
                    <c:v>III</c:v>
                  </c:pt>
                  <c:pt idx="7">
                    <c:v>IV</c:v>
                  </c:pt>
                  <c:pt idx="8">
                    <c:v>I</c:v>
                  </c:pt>
                  <c:pt idx="9">
                    <c:v>II</c:v>
                  </c:pt>
                  <c:pt idx="10">
                    <c:v>III</c:v>
                  </c:pt>
                  <c:pt idx="11">
                    <c:v>IV</c:v>
                  </c:pt>
                  <c:pt idx="12">
                    <c:v>I</c:v>
                  </c:pt>
                  <c:pt idx="13">
                    <c:v>II</c:v>
                  </c:pt>
                  <c:pt idx="14">
                    <c:v>III</c:v>
                  </c:pt>
                  <c:pt idx="15">
                    <c:v>IV</c:v>
                  </c:pt>
                  <c:pt idx="16">
                    <c:v>I</c:v>
                  </c:pt>
                  <c:pt idx="17">
                    <c:v>II</c:v>
                  </c:pt>
                  <c:pt idx="18">
                    <c:v>III</c:v>
                  </c:pt>
                  <c:pt idx="19">
                    <c:v>IV</c:v>
                  </c:pt>
                </c:lvl>
                <c:lvl>
                  <c:pt idx="0">
                    <c:v>2021</c:v>
                  </c:pt>
                  <c:pt idx="4">
                    <c:v>2022</c:v>
                  </c:pt>
                  <c:pt idx="8">
                    <c:v>2023</c:v>
                  </c:pt>
                  <c:pt idx="12">
                    <c:v>2024</c:v>
                  </c:pt>
                  <c:pt idx="16">
                    <c:v>2025</c:v>
                  </c:pt>
                </c:lvl>
              </c:multiLvlStrCache>
            </c:multiLvlStrRef>
          </c:cat>
          <c:val>
            <c:numRef>
              <c:f>'Cuenta Financiera '!$E$2:$E$21</c:f>
              <c:numCache>
                <c:formatCode>#,##0.00_);\(#,##0.00\)</c:formatCode>
                <c:ptCount val="20"/>
                <c:pt idx="0">
                  <c:v>-320.86280019999998</c:v>
                </c:pt>
                <c:pt idx="1">
                  <c:v>181.65367391999999</c:v>
                </c:pt>
                <c:pt idx="2">
                  <c:v>356.06058618999998</c:v>
                </c:pt>
                <c:pt idx="3">
                  <c:v>148.30763382000001</c:v>
                </c:pt>
                <c:pt idx="4">
                  <c:v>-377.13607869999998</c:v>
                </c:pt>
                <c:pt idx="5">
                  <c:v>36.169823274000002</c:v>
                </c:pt>
                <c:pt idx="6">
                  <c:v>487.33717306</c:v>
                </c:pt>
                <c:pt idx="7">
                  <c:v>676.96965304000003</c:v>
                </c:pt>
                <c:pt idx="8">
                  <c:v>-248.37005310000001</c:v>
                </c:pt>
                <c:pt idx="9">
                  <c:v>-756.28899639999997</c:v>
                </c:pt>
                <c:pt idx="10">
                  <c:v>-690.52362960000005</c:v>
                </c:pt>
                <c:pt idx="11">
                  <c:v>-879.40544580000005</c:v>
                </c:pt>
                <c:pt idx="12">
                  <c:v>-575.17204990000005</c:v>
                </c:pt>
                <c:pt idx="13">
                  <c:v>80.169823273999995</c:v>
                </c:pt>
                <c:pt idx="14">
                  <c:v>281.66982326999999</c:v>
                </c:pt>
                <c:pt idx="15">
                  <c:v>156.66982326999999</c:v>
                </c:pt>
                <c:pt idx="16">
                  <c:v>-422.282895</c:v>
                </c:pt>
                <c:pt idx="17">
                  <c:v>-448.318195</c:v>
                </c:pt>
                <c:pt idx="18">
                  <c:v>-398.30489499999999</c:v>
                </c:pt>
                <c:pt idx="19">
                  <c:v>-438.526095</c:v>
                </c:pt>
              </c:numCache>
            </c:numRef>
          </c:val>
          <c:extLst>
            <c:ext xmlns:c16="http://schemas.microsoft.com/office/drawing/2014/chart" uri="{C3380CC4-5D6E-409C-BE32-E72D297353CC}">
              <c16:uniqueId val="{0000000E-8C80-4A42-8492-7EB812AE39CE}"/>
            </c:ext>
          </c:extLst>
        </c:ser>
        <c:ser>
          <c:idx val="3"/>
          <c:order val="4"/>
          <c:tx>
            <c:strRef>
              <c:f>'Cuenta Financiera '!$F$1</c:f>
              <c:strCache>
                <c:ptCount val="1"/>
                <c:pt idx="0">
                  <c:v>Otra Inversión</c:v>
                </c:pt>
              </c:strCache>
            </c:strRef>
          </c:tx>
          <c:spPr>
            <a:solidFill>
              <a:schemeClr val="accent2">
                <a:lumMod val="60000"/>
              </a:schemeClr>
            </a:solidFill>
            <a:ln>
              <a:noFill/>
            </a:ln>
            <a:effectLst/>
          </c:spPr>
          <c:invertIfNegative val="0"/>
          <c:dLbls>
            <c:dLbl>
              <c:idx val="12"/>
              <c:layout>
                <c:manualLayout>
                  <c:x val="-2.0369940575911895E-3"/>
                  <c:y val="-3.6406486879286049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F-8C80-4A42-8492-7EB812AE39CE}"/>
                </c:ext>
              </c:extLst>
            </c:dLbl>
            <c:dLbl>
              <c:idx val="13"/>
              <c:layout>
                <c:manualLayout>
                  <c:x val="2.0316222807855562E-2"/>
                  <c:y val="-3.6112212301895277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0-8C80-4A42-8492-7EB812AE39CE}"/>
                </c:ext>
              </c:extLst>
            </c:dLbl>
            <c:dLbl>
              <c:idx val="16"/>
              <c:layout>
                <c:manualLayout>
                  <c:x val="-1.489839128493996E-16"/>
                  <c:y val="-8.1252003765716938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1-8C80-4A42-8492-7EB812AE39CE}"/>
                </c:ext>
              </c:extLst>
            </c:dLbl>
            <c:dLbl>
              <c:idx val="17"/>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2-8C80-4A42-8492-7EB812AE39CE}"/>
                </c:ext>
              </c:extLst>
            </c:dLbl>
            <c:numFmt formatCode="##,###,###,###,###,###,###,###,###,##0" sourceLinked="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accent2">
                        <a:lumMod val="50000"/>
                      </a:schemeClr>
                    </a:solidFill>
                    <a:latin typeface="+mn-lt"/>
                    <a:ea typeface="+mn-ea"/>
                    <a:cs typeface="+mn-cs"/>
                  </a:defRPr>
                </a:pPr>
                <a:endParaRPr lang="es-CO"/>
              </a:p>
            </c:txPr>
            <c:showLegendKey val="0"/>
            <c:showVal val="0"/>
            <c:showCatName val="0"/>
            <c:showSerName val="0"/>
            <c:showPercent val="0"/>
            <c:showBubbleSize val="0"/>
            <c:extLst>
              <c:ext xmlns:c15="http://schemas.microsoft.com/office/drawing/2012/chart" uri="{CE6537A1-D6FC-4f65-9D91-7224C49458BB}">
                <c15:showLeaderLines val="0"/>
              </c:ext>
            </c:extLst>
          </c:dLbls>
          <c:cat>
            <c:multiLvlStrRef>
              <c:f>'Cuenta Financiera '!$A$2:$B$21</c:f>
              <c:multiLvlStrCache>
                <c:ptCount val="20"/>
                <c:lvl>
                  <c:pt idx="0">
                    <c:v>I</c:v>
                  </c:pt>
                  <c:pt idx="1">
                    <c:v>II</c:v>
                  </c:pt>
                  <c:pt idx="2">
                    <c:v>III</c:v>
                  </c:pt>
                  <c:pt idx="3">
                    <c:v>IV</c:v>
                  </c:pt>
                  <c:pt idx="4">
                    <c:v>I</c:v>
                  </c:pt>
                  <c:pt idx="5">
                    <c:v>II</c:v>
                  </c:pt>
                  <c:pt idx="6">
                    <c:v>III</c:v>
                  </c:pt>
                  <c:pt idx="7">
                    <c:v>IV</c:v>
                  </c:pt>
                  <c:pt idx="8">
                    <c:v>I</c:v>
                  </c:pt>
                  <c:pt idx="9">
                    <c:v>II</c:v>
                  </c:pt>
                  <c:pt idx="10">
                    <c:v>III</c:v>
                  </c:pt>
                  <c:pt idx="11">
                    <c:v>IV</c:v>
                  </c:pt>
                  <c:pt idx="12">
                    <c:v>I</c:v>
                  </c:pt>
                  <c:pt idx="13">
                    <c:v>II</c:v>
                  </c:pt>
                  <c:pt idx="14">
                    <c:v>III</c:v>
                  </c:pt>
                  <c:pt idx="15">
                    <c:v>IV</c:v>
                  </c:pt>
                  <c:pt idx="16">
                    <c:v>I</c:v>
                  </c:pt>
                  <c:pt idx="17">
                    <c:v>II</c:v>
                  </c:pt>
                  <c:pt idx="18">
                    <c:v>III</c:v>
                  </c:pt>
                  <c:pt idx="19">
                    <c:v>IV</c:v>
                  </c:pt>
                </c:lvl>
                <c:lvl>
                  <c:pt idx="0">
                    <c:v>2021</c:v>
                  </c:pt>
                  <c:pt idx="4">
                    <c:v>2022</c:v>
                  </c:pt>
                  <c:pt idx="8">
                    <c:v>2023</c:v>
                  </c:pt>
                  <c:pt idx="12">
                    <c:v>2024</c:v>
                  </c:pt>
                  <c:pt idx="16">
                    <c:v>2025</c:v>
                  </c:pt>
                </c:lvl>
              </c:multiLvlStrCache>
            </c:multiLvlStrRef>
          </c:cat>
          <c:val>
            <c:numRef>
              <c:f>'Cuenta Financiera '!$F$2:$F$21</c:f>
              <c:numCache>
                <c:formatCode>#,##0.00_);\(#,##0.00\)</c:formatCode>
                <c:ptCount val="20"/>
                <c:pt idx="0">
                  <c:v>-2538.9623329999999</c:v>
                </c:pt>
                <c:pt idx="1">
                  <c:v>2985.7916681000002</c:v>
                </c:pt>
                <c:pt idx="2">
                  <c:v>-3336.998298</c:v>
                </c:pt>
                <c:pt idx="3">
                  <c:v>-3845.76811</c:v>
                </c:pt>
                <c:pt idx="4">
                  <c:v>-3001.8772269999999</c:v>
                </c:pt>
                <c:pt idx="5">
                  <c:v>-642.40141700000004</c:v>
                </c:pt>
                <c:pt idx="6">
                  <c:v>-3190.5331310000001</c:v>
                </c:pt>
                <c:pt idx="7">
                  <c:v>-1653.3628659999999</c:v>
                </c:pt>
                <c:pt idx="8">
                  <c:v>-218.92539249999999</c:v>
                </c:pt>
                <c:pt idx="9">
                  <c:v>1579.9864915999999</c:v>
                </c:pt>
                <c:pt idx="10">
                  <c:v>-2335.7994560000002</c:v>
                </c:pt>
                <c:pt idx="11">
                  <c:v>844.61254584000005</c:v>
                </c:pt>
                <c:pt idx="12">
                  <c:v>-869.83180259999995</c:v>
                </c:pt>
                <c:pt idx="13">
                  <c:v>23.453202714</c:v>
                </c:pt>
                <c:pt idx="14">
                  <c:v>-3385.3810990000002</c:v>
                </c:pt>
                <c:pt idx="15">
                  <c:v>2018.3096446</c:v>
                </c:pt>
                <c:pt idx="16">
                  <c:v>-2429.2437020000002</c:v>
                </c:pt>
                <c:pt idx="17">
                  <c:v>3394.6394282000001</c:v>
                </c:pt>
                <c:pt idx="18">
                  <c:v>4435.3333892000001</c:v>
                </c:pt>
                <c:pt idx="19">
                  <c:v>-115.6393827</c:v>
                </c:pt>
              </c:numCache>
            </c:numRef>
          </c:val>
          <c:extLst>
            <c:ext xmlns:c16="http://schemas.microsoft.com/office/drawing/2014/chart" uri="{C3380CC4-5D6E-409C-BE32-E72D297353CC}">
              <c16:uniqueId val="{00000013-8C80-4A42-8492-7EB812AE39CE}"/>
            </c:ext>
          </c:extLst>
        </c:ser>
        <c:ser>
          <c:idx val="4"/>
          <c:order val="5"/>
          <c:tx>
            <c:strRef>
              <c:f>'Cuenta Financiera '!$G$1</c:f>
              <c:strCache>
                <c:ptCount val="1"/>
                <c:pt idx="0">
                  <c:v>Activos de Reserva</c:v>
                </c:pt>
              </c:strCache>
            </c:strRef>
          </c:tx>
          <c:spPr>
            <a:solidFill>
              <a:schemeClr val="accent4">
                <a:lumMod val="60000"/>
              </a:schemeClr>
            </a:solidFill>
            <a:ln>
              <a:noFill/>
            </a:ln>
            <a:effectLst/>
          </c:spPr>
          <c:invertIfNegative val="0"/>
          <c:dLbls>
            <c:dLbl>
              <c:idx val="12"/>
              <c:layout>
                <c:manualLayout>
                  <c:x val="-7.4491956424699801E-17"/>
                  <c:y val="-4.1320759143154827E-2"/>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4-8C80-4A42-8492-7EB812AE39CE}"/>
                </c:ext>
              </c:extLst>
            </c:dLbl>
            <c:dLbl>
              <c:idx val="13"/>
              <c:layout>
                <c:manualLayout>
                  <c:x val="0"/>
                  <c:y val="-4.8988580610072836E-2"/>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5-8C80-4A42-8492-7EB812AE39CE}"/>
                </c:ext>
              </c:extLst>
            </c:dLbl>
            <c:dLbl>
              <c:idx val="16"/>
              <c:layout>
                <c:manualLayout>
                  <c:x val="0"/>
                  <c:y val="-2.7380355193464555E-2"/>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6-8C80-4A42-8492-7EB812AE39CE}"/>
                </c:ext>
              </c:extLst>
            </c:dLbl>
            <c:dLbl>
              <c:idx val="17"/>
              <c:layout>
                <c:manualLayout>
                  <c:x val="0"/>
                  <c:y val="-3.1832493311527502E-2"/>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7-8C80-4A42-8492-7EB812AE39CE}"/>
                </c:ext>
              </c:extLst>
            </c:dLbl>
            <c:numFmt formatCode="##,###,###,###,###,###,###,###,###,##0" sourceLinked="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accent4">
                        <a:lumMod val="50000"/>
                      </a:schemeClr>
                    </a:solidFill>
                    <a:latin typeface="+mn-lt"/>
                    <a:ea typeface="+mn-ea"/>
                    <a:cs typeface="+mn-cs"/>
                  </a:defRPr>
                </a:pPr>
                <a:endParaRPr lang="es-CO"/>
              </a:p>
            </c:txPr>
            <c:dLblPos val="inBase"/>
            <c:showLegendKey val="0"/>
            <c:showVal val="0"/>
            <c:showCatName val="0"/>
            <c:showSerName val="0"/>
            <c:showPercent val="0"/>
            <c:showBubbleSize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'Cuenta Financiera '!$A$2:$B$21</c:f>
              <c:multiLvlStrCache>
                <c:ptCount val="20"/>
                <c:lvl>
                  <c:pt idx="0">
                    <c:v>I</c:v>
                  </c:pt>
                  <c:pt idx="1">
                    <c:v>II</c:v>
                  </c:pt>
                  <c:pt idx="2">
                    <c:v>III</c:v>
                  </c:pt>
                  <c:pt idx="3">
                    <c:v>IV</c:v>
                  </c:pt>
                  <c:pt idx="4">
                    <c:v>I</c:v>
                  </c:pt>
                  <c:pt idx="5">
                    <c:v>II</c:v>
                  </c:pt>
                  <c:pt idx="6">
                    <c:v>III</c:v>
                  </c:pt>
                  <c:pt idx="7">
                    <c:v>IV</c:v>
                  </c:pt>
                  <c:pt idx="8">
                    <c:v>I</c:v>
                  </c:pt>
                  <c:pt idx="9">
                    <c:v>II</c:v>
                  </c:pt>
                  <c:pt idx="10">
                    <c:v>III</c:v>
                  </c:pt>
                  <c:pt idx="11">
                    <c:v>IV</c:v>
                  </c:pt>
                  <c:pt idx="12">
                    <c:v>I</c:v>
                  </c:pt>
                  <c:pt idx="13">
                    <c:v>II</c:v>
                  </c:pt>
                  <c:pt idx="14">
                    <c:v>III</c:v>
                  </c:pt>
                  <c:pt idx="15">
                    <c:v>IV</c:v>
                  </c:pt>
                  <c:pt idx="16">
                    <c:v>I</c:v>
                  </c:pt>
                  <c:pt idx="17">
                    <c:v>II</c:v>
                  </c:pt>
                  <c:pt idx="18">
                    <c:v>III</c:v>
                  </c:pt>
                  <c:pt idx="19">
                    <c:v>IV</c:v>
                  </c:pt>
                </c:lvl>
                <c:lvl>
                  <c:pt idx="0">
                    <c:v>2021</c:v>
                  </c:pt>
                  <c:pt idx="4">
                    <c:v>2022</c:v>
                  </c:pt>
                  <c:pt idx="8">
                    <c:v>2023</c:v>
                  </c:pt>
                  <c:pt idx="12">
                    <c:v>2024</c:v>
                  </c:pt>
                  <c:pt idx="16">
                    <c:v>2025</c:v>
                  </c:pt>
                </c:lvl>
              </c:multiLvlStrCache>
            </c:multiLvlStrRef>
          </c:cat>
          <c:val>
            <c:numRef>
              <c:f>'Cuenta Financiera '!$G$2:$G$21</c:f>
              <c:numCache>
                <c:formatCode>#,##0.00_);\(#,##0.00\)</c:formatCode>
                <c:ptCount val="20"/>
                <c:pt idx="0">
                  <c:v>190.12768700000001</c:v>
                </c:pt>
                <c:pt idx="1">
                  <c:v>173.98878264999999</c:v>
                </c:pt>
                <c:pt idx="2">
                  <c:v>154.45625244999999</c:v>
                </c:pt>
                <c:pt idx="3">
                  <c:v>134.97245000000001</c:v>
                </c:pt>
                <c:pt idx="4">
                  <c:v>126.94617491</c:v>
                </c:pt>
                <c:pt idx="5">
                  <c:v>74.07856108</c:v>
                </c:pt>
                <c:pt idx="6">
                  <c:v>159.38365880999999</c:v>
                </c:pt>
                <c:pt idx="7">
                  <c:v>210.48249969</c:v>
                </c:pt>
                <c:pt idx="8">
                  <c:v>365.72011872000002</c:v>
                </c:pt>
                <c:pt idx="9">
                  <c:v>399.08935855999999</c:v>
                </c:pt>
                <c:pt idx="10">
                  <c:v>457.47194811000003</c:v>
                </c:pt>
                <c:pt idx="11">
                  <c:v>496.10652671999998</c:v>
                </c:pt>
                <c:pt idx="12">
                  <c:v>951.37462548999997</c:v>
                </c:pt>
                <c:pt idx="13">
                  <c:v>914.45394584999997</c:v>
                </c:pt>
                <c:pt idx="14">
                  <c:v>1045.5225390000001</c:v>
                </c:pt>
                <c:pt idx="15">
                  <c:v>681.96285583999997</c:v>
                </c:pt>
                <c:pt idx="16">
                  <c:v>563.57734721999998</c:v>
                </c:pt>
                <c:pt idx="17">
                  <c:v>524.58469700000001</c:v>
                </c:pt>
                <c:pt idx="18">
                  <c:v>534.16449928999998</c:v>
                </c:pt>
                <c:pt idx="19">
                  <c:v>542.91344924999999</c:v>
                </c:pt>
              </c:numCache>
            </c:numRef>
          </c:val>
          <c:extLst>
            <c:ext xmlns:c16="http://schemas.microsoft.com/office/drawing/2014/chart" uri="{C3380CC4-5D6E-409C-BE32-E72D297353CC}">
              <c16:uniqueId val="{00000018-8C80-4A42-8492-7EB812AE39CE}"/>
            </c:ext>
          </c:extLst>
        </c:ser>
        <c:dLbls>
          <c:showLegendKey val="0"/>
          <c:showVal val="0"/>
          <c:showCatName val="0"/>
          <c:showSerName val="0"/>
          <c:showPercent val="0"/>
          <c:showBubbleSize val="0"/>
        </c:dLbls>
        <c:gapWidth val="150"/>
        <c:overlap val="100"/>
        <c:axId val="782116080"/>
        <c:axId val="564119840"/>
      </c:barChart>
      <c:lineChart>
        <c:grouping val="standard"/>
        <c:varyColors val="0"/>
        <c:ser>
          <c:idx val="5"/>
          <c:order val="3"/>
          <c:tx>
            <c:strRef>
              <c:f>'Cuenta Financiera '!$J$1</c:f>
              <c:strCache>
                <c:ptCount val="1"/>
                <c:pt idx="0">
                  <c:v>Cuenta Financiera  (% PIB)</c:v>
                </c:pt>
              </c:strCache>
            </c:strRef>
          </c:tx>
          <c:spPr>
            <a:ln w="28575" cap="rnd">
              <a:solidFill>
                <a:schemeClr val="tx1"/>
              </a:solidFill>
              <a:round/>
            </a:ln>
            <a:effectLst/>
          </c:spPr>
          <c:marker>
            <c:symbol val="none"/>
          </c:marker>
          <c:dLbls>
            <c:dLbl>
              <c:idx val="8"/>
              <c:layout>
                <c:manualLayout>
                  <c:x val="-4.853332336414682E-2"/>
                  <c:y val="-1.6652314575304673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9-8C80-4A42-8492-7EB812AE39CE}"/>
                </c:ext>
              </c:extLst>
            </c:dLbl>
            <c:dLbl>
              <c:idx val="9"/>
              <c:layout>
                <c:manualLayout>
                  <c:x val="-3.8388397911774938E-2"/>
                  <c:y val="2.2654242525028467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A-8C80-4A42-8492-7EB812AE39CE}"/>
                </c:ext>
              </c:extLst>
            </c:dLbl>
            <c:dLbl>
              <c:idx val="10"/>
              <c:layout>
                <c:manualLayout>
                  <c:x val="-3.2301442640351924E-2"/>
                  <c:y val="3.777214910207962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B-8C80-4A42-8492-7EB812AE39CE}"/>
                </c:ext>
              </c:extLst>
            </c:dLbl>
            <c:dLbl>
              <c:idx val="12"/>
              <c:layout>
                <c:manualLayout>
                  <c:x val="-3.8438293552462727E-2"/>
                  <c:y val="2.5556972820347194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C-8C80-4A42-8492-7EB812AE39CE}"/>
                </c:ext>
              </c:extLst>
            </c:dLbl>
            <c:dLbl>
              <c:idx val="16"/>
              <c:layout>
                <c:manualLayout>
                  <c:x val="-3.6406671271677168E-2"/>
                  <c:y val="2.5556972820347194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D-8C80-4A42-8492-7EB812AE39CE}"/>
                </c:ext>
              </c:extLst>
            </c:dLbl>
            <c:numFmt formatCode="0.0%" sourceLinked="0"/>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ysClr val="windowText" lastClr="000000"/>
                    </a:solidFill>
                    <a:latin typeface="+mn-lt"/>
                    <a:ea typeface="+mn-ea"/>
                    <a:cs typeface="+mn-cs"/>
                  </a:defRPr>
                </a:pPr>
                <a:endParaRPr lang="es-CO"/>
              </a:p>
            </c:txPr>
            <c:dLblPos val="b"/>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val>
            <c:numRef>
              <c:f>'Cuenta Financiera '!$J$2:$J$21</c:f>
              <c:numCache>
                <c:formatCode>0.00%</c:formatCode>
                <c:ptCount val="20"/>
                <c:pt idx="0">
                  <c:v>-3.6216550724065127E-2</c:v>
                </c:pt>
                <c:pt idx="1">
                  <c:v>-5.0967318354100677E-2</c:v>
                </c:pt>
                <c:pt idx="2">
                  <c:v>-5.6078189745035034E-2</c:v>
                </c:pt>
                <c:pt idx="3">
                  <c:v>-6.4879386349079901E-2</c:v>
                </c:pt>
                <c:pt idx="4">
                  <c:v>-5.8466076301249691E-2</c:v>
                </c:pt>
                <c:pt idx="5">
                  <c:v>-5.4755655237748238E-2</c:v>
                </c:pt>
                <c:pt idx="6">
                  <c:v>-6.5279240304873309E-2</c:v>
                </c:pt>
                <c:pt idx="7">
                  <c:v>-5.7812951238655999E-2</c:v>
                </c:pt>
                <c:pt idx="8">
                  <c:v>-3.1902665154537685E-2</c:v>
                </c:pt>
                <c:pt idx="9">
                  <c:v>-3.1228049378906268E-2</c:v>
                </c:pt>
                <c:pt idx="10">
                  <c:v>-1.3857125938937578E-2</c:v>
                </c:pt>
                <c:pt idx="11">
                  <c:v>-1.1566545722853738E-2</c:v>
                </c:pt>
                <c:pt idx="12">
                  <c:v>-1.446668738094299E-2</c:v>
                </c:pt>
                <c:pt idx="13">
                  <c:v>-1.0331490160551357E-2</c:v>
                </c:pt>
                <c:pt idx="14">
                  <c:v>-9.6077821904046682E-3</c:v>
                </c:pt>
                <c:pt idx="15">
                  <c:v>-1.8667149289432677E-2</c:v>
                </c:pt>
                <c:pt idx="16">
                  <c:v>-1.3900693037016526E-2</c:v>
                </c:pt>
                <c:pt idx="17">
                  <c:v>-1.7570401197503596E-2</c:v>
                </c:pt>
                <c:pt idx="18">
                  <c:v>-1.8887959140917298E-2</c:v>
                </c:pt>
                <c:pt idx="19">
                  <c:v>-2.7061018131777075E-2</c:v>
                </c:pt>
              </c:numCache>
            </c:numRef>
          </c:val>
          <c:smooth val="0"/>
          <c:extLst>
            <c:ext xmlns:c16="http://schemas.microsoft.com/office/drawing/2014/chart" uri="{C3380CC4-5D6E-409C-BE32-E72D297353CC}">
              <c16:uniqueId val="{0000001E-8C80-4A42-8492-7EB812AE39CE}"/>
            </c:ext>
          </c:extLst>
        </c:ser>
        <c:dLbls>
          <c:showLegendKey val="0"/>
          <c:showVal val="0"/>
          <c:showCatName val="0"/>
          <c:showSerName val="0"/>
          <c:showPercent val="0"/>
          <c:showBubbleSize val="0"/>
        </c:dLbls>
        <c:marker val="1"/>
        <c:smooth val="0"/>
        <c:axId val="1152058367"/>
        <c:axId val="1692319135"/>
      </c:lineChart>
      <c:catAx>
        <c:axId val="782116080"/>
        <c:scaling>
          <c:orientation val="minMax"/>
        </c:scaling>
        <c:delete val="0"/>
        <c:axPos val="b"/>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64119840"/>
        <c:crosses val="autoZero"/>
        <c:auto val="1"/>
        <c:lblAlgn val="ctr"/>
        <c:lblOffset val="100"/>
        <c:noMultiLvlLbl val="0"/>
      </c:catAx>
      <c:valAx>
        <c:axId val="564119840"/>
        <c:scaling>
          <c:orientation val="minMax"/>
          <c:max val="5000"/>
        </c:scaling>
        <c:delete val="0"/>
        <c:axPos val="l"/>
        <c:numFmt formatCode="General"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82116080"/>
        <c:crosses val="autoZero"/>
        <c:crossBetween val="between"/>
      </c:valAx>
      <c:valAx>
        <c:axId val="1692319135"/>
        <c:scaling>
          <c:orientation val="minMax"/>
          <c:max val="4.0000000000000008E-2"/>
        </c:scaling>
        <c:delete val="0"/>
        <c:axPos val="r"/>
        <c:numFmt formatCode="0%" sourceLinked="0"/>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crossAx val="1152058367"/>
        <c:crosses val="max"/>
        <c:crossBetween val="between"/>
      </c:valAx>
      <c:catAx>
        <c:axId val="1152058367"/>
        <c:scaling>
          <c:orientation val="minMax"/>
        </c:scaling>
        <c:delete val="1"/>
        <c:axPos val="b"/>
        <c:numFmt formatCode="General" sourceLinked="1"/>
        <c:majorTickMark val="out"/>
        <c:minorTickMark val="none"/>
        <c:tickLblPos val="nextTo"/>
        <c:crossAx val="1692319135"/>
        <c:crossesAt val="0"/>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0200679527599035"/>
          <c:y val="4.82416988536985E-2"/>
          <c:w val="0.82797084252291364"/>
          <c:h val="0.59565237660294879"/>
        </c:manualLayout>
      </c:layout>
      <c:barChart>
        <c:barDir val="col"/>
        <c:grouping val="stacked"/>
        <c:varyColors val="0"/>
        <c:ser>
          <c:idx val="0"/>
          <c:order val="0"/>
          <c:tx>
            <c:strRef>
              <c:f>'participaciones IED'!$C$53</c:f>
              <c:strCache>
                <c:ptCount val="1"/>
                <c:pt idx="0">
                  <c:v>Sector petrolero</c:v>
                </c:pt>
              </c:strCache>
            </c:strRef>
          </c:tx>
          <c:spPr>
            <a:solidFill>
              <a:schemeClr val="accent1"/>
            </a:solidFill>
            <a:ln>
              <a:noFill/>
            </a:ln>
            <a:effectLst/>
          </c:spPr>
          <c:invertIfNegative val="0"/>
          <c:cat>
            <c:numRef>
              <c:f>'participaciones IED'!$B$54:$B$60</c:f>
              <c:numCache>
                <c:formatCode>General</c:formatCode>
                <c:ptCount val="7"/>
                <c:pt idx="0">
                  <c:v>2019</c:v>
                </c:pt>
                <c:pt idx="1">
                  <c:v>2020</c:v>
                </c:pt>
                <c:pt idx="2">
                  <c:v>2021</c:v>
                </c:pt>
                <c:pt idx="3">
                  <c:v>2022</c:v>
                </c:pt>
                <c:pt idx="4">
                  <c:v>2023</c:v>
                </c:pt>
                <c:pt idx="5">
                  <c:v>2024</c:v>
                </c:pt>
                <c:pt idx="6">
                  <c:v>2025</c:v>
                </c:pt>
              </c:numCache>
            </c:numRef>
          </c:cat>
          <c:val>
            <c:numRef>
              <c:f>'participaciones IED'!$C$54:$C$60</c:f>
              <c:numCache>
                <c:formatCode>General</c:formatCode>
                <c:ptCount val="7"/>
                <c:pt idx="0">
                  <c:v>2755.4526764812022</c:v>
                </c:pt>
                <c:pt idx="1">
                  <c:v>457.33004313627498</c:v>
                </c:pt>
                <c:pt idx="2">
                  <c:v>915.61695035310299</c:v>
                </c:pt>
                <c:pt idx="3">
                  <c:v>2865.716543673012</c:v>
                </c:pt>
                <c:pt idx="4">
                  <c:v>3058.2316917964599</c:v>
                </c:pt>
                <c:pt idx="5">
                  <c:v>2066.0057690225449</c:v>
                </c:pt>
                <c:pt idx="6">
                  <c:v>2498.1406776957219</c:v>
                </c:pt>
              </c:numCache>
            </c:numRef>
          </c:val>
          <c:extLst>
            <c:ext xmlns:c16="http://schemas.microsoft.com/office/drawing/2014/chart" uri="{C3380CC4-5D6E-409C-BE32-E72D297353CC}">
              <c16:uniqueId val="{00000000-D3C6-8C4B-80AA-45F2416EB6C4}"/>
            </c:ext>
          </c:extLst>
        </c:ser>
        <c:ser>
          <c:idx val="1"/>
          <c:order val="1"/>
          <c:tx>
            <c:strRef>
              <c:f>'participaciones IED'!$D$53</c:f>
              <c:strCache>
                <c:ptCount val="1"/>
                <c:pt idx="0">
                  <c:v>Explotación de minas y canteras</c:v>
                </c:pt>
              </c:strCache>
            </c:strRef>
          </c:tx>
          <c:spPr>
            <a:solidFill>
              <a:schemeClr val="accent2"/>
            </a:solidFill>
            <a:ln>
              <a:noFill/>
            </a:ln>
            <a:effectLst/>
          </c:spPr>
          <c:invertIfNegative val="0"/>
          <c:cat>
            <c:numRef>
              <c:f>'participaciones IED'!$B$54:$B$60</c:f>
              <c:numCache>
                <c:formatCode>General</c:formatCode>
                <c:ptCount val="7"/>
                <c:pt idx="0">
                  <c:v>2019</c:v>
                </c:pt>
                <c:pt idx="1">
                  <c:v>2020</c:v>
                </c:pt>
                <c:pt idx="2">
                  <c:v>2021</c:v>
                </c:pt>
                <c:pt idx="3">
                  <c:v>2022</c:v>
                </c:pt>
                <c:pt idx="4">
                  <c:v>2023</c:v>
                </c:pt>
                <c:pt idx="5">
                  <c:v>2024</c:v>
                </c:pt>
                <c:pt idx="6">
                  <c:v>2025</c:v>
                </c:pt>
              </c:numCache>
            </c:numRef>
          </c:cat>
          <c:val>
            <c:numRef>
              <c:f>'participaciones IED'!$D$54:$D$60</c:f>
              <c:numCache>
                <c:formatCode>General</c:formatCode>
                <c:ptCount val="7"/>
                <c:pt idx="0">
                  <c:v>1361.537861397705</c:v>
                </c:pt>
                <c:pt idx="1">
                  <c:v>438.42157919394407</c:v>
                </c:pt>
                <c:pt idx="2">
                  <c:v>234.59380593922998</c:v>
                </c:pt>
                <c:pt idx="3">
                  <c:v>1188.8235643870378</c:v>
                </c:pt>
                <c:pt idx="4">
                  <c:v>3442.4262078054689</c:v>
                </c:pt>
                <c:pt idx="5">
                  <c:v>1132.3736681409025</c:v>
                </c:pt>
                <c:pt idx="6">
                  <c:v>158.97852544033981</c:v>
                </c:pt>
              </c:numCache>
            </c:numRef>
          </c:val>
          <c:extLst>
            <c:ext xmlns:c16="http://schemas.microsoft.com/office/drawing/2014/chart" uri="{C3380CC4-5D6E-409C-BE32-E72D297353CC}">
              <c16:uniqueId val="{00000001-D3C6-8C4B-80AA-45F2416EB6C4}"/>
            </c:ext>
          </c:extLst>
        </c:ser>
        <c:ser>
          <c:idx val="2"/>
          <c:order val="2"/>
          <c:tx>
            <c:strRef>
              <c:f>'participaciones IED'!$E$53</c:f>
              <c:strCache>
                <c:ptCount val="1"/>
                <c:pt idx="0">
                  <c:v>Industrias manufactureras</c:v>
                </c:pt>
              </c:strCache>
            </c:strRef>
          </c:tx>
          <c:spPr>
            <a:solidFill>
              <a:schemeClr val="accent3"/>
            </a:solidFill>
            <a:ln>
              <a:noFill/>
            </a:ln>
            <a:effectLst/>
          </c:spPr>
          <c:invertIfNegative val="0"/>
          <c:cat>
            <c:numRef>
              <c:f>'participaciones IED'!$B$54:$B$60</c:f>
              <c:numCache>
                <c:formatCode>General</c:formatCode>
                <c:ptCount val="7"/>
                <c:pt idx="0">
                  <c:v>2019</c:v>
                </c:pt>
                <c:pt idx="1">
                  <c:v>2020</c:v>
                </c:pt>
                <c:pt idx="2">
                  <c:v>2021</c:v>
                </c:pt>
                <c:pt idx="3">
                  <c:v>2022</c:v>
                </c:pt>
                <c:pt idx="4">
                  <c:v>2023</c:v>
                </c:pt>
                <c:pt idx="5">
                  <c:v>2024</c:v>
                </c:pt>
                <c:pt idx="6">
                  <c:v>2025</c:v>
                </c:pt>
              </c:numCache>
            </c:numRef>
          </c:cat>
          <c:val>
            <c:numRef>
              <c:f>'participaciones IED'!$E$54:$E$60</c:f>
              <c:numCache>
                <c:formatCode>General</c:formatCode>
                <c:ptCount val="7"/>
                <c:pt idx="0">
                  <c:v>1499.2465495598722</c:v>
                </c:pt>
                <c:pt idx="1">
                  <c:v>893.94430357329406</c:v>
                </c:pt>
                <c:pt idx="2">
                  <c:v>1719.2006662293043</c:v>
                </c:pt>
                <c:pt idx="3">
                  <c:v>1508.020971771226</c:v>
                </c:pt>
                <c:pt idx="4">
                  <c:v>2967.0421583011139</c:v>
                </c:pt>
                <c:pt idx="5">
                  <c:v>2107.1458641313848</c:v>
                </c:pt>
                <c:pt idx="6">
                  <c:v>1696.879401401412</c:v>
                </c:pt>
              </c:numCache>
            </c:numRef>
          </c:val>
          <c:extLst>
            <c:ext xmlns:c16="http://schemas.microsoft.com/office/drawing/2014/chart" uri="{C3380CC4-5D6E-409C-BE32-E72D297353CC}">
              <c16:uniqueId val="{00000002-D3C6-8C4B-80AA-45F2416EB6C4}"/>
            </c:ext>
          </c:extLst>
        </c:ser>
        <c:ser>
          <c:idx val="3"/>
          <c:order val="3"/>
          <c:tx>
            <c:strRef>
              <c:f>'participaciones IED'!$F$53</c:f>
              <c:strCache>
                <c:ptCount val="1"/>
                <c:pt idx="0">
                  <c:v>Comercio y hoteles</c:v>
                </c:pt>
              </c:strCache>
            </c:strRef>
          </c:tx>
          <c:spPr>
            <a:solidFill>
              <a:schemeClr val="accent4"/>
            </a:solidFill>
            <a:ln>
              <a:noFill/>
            </a:ln>
            <a:effectLst/>
          </c:spPr>
          <c:invertIfNegative val="0"/>
          <c:cat>
            <c:numRef>
              <c:f>'participaciones IED'!$B$54:$B$60</c:f>
              <c:numCache>
                <c:formatCode>General</c:formatCode>
                <c:ptCount val="7"/>
                <c:pt idx="0">
                  <c:v>2019</c:v>
                </c:pt>
                <c:pt idx="1">
                  <c:v>2020</c:v>
                </c:pt>
                <c:pt idx="2">
                  <c:v>2021</c:v>
                </c:pt>
                <c:pt idx="3">
                  <c:v>2022</c:v>
                </c:pt>
                <c:pt idx="4">
                  <c:v>2023</c:v>
                </c:pt>
                <c:pt idx="5">
                  <c:v>2024</c:v>
                </c:pt>
                <c:pt idx="6">
                  <c:v>2025</c:v>
                </c:pt>
              </c:numCache>
            </c:numRef>
          </c:cat>
          <c:val>
            <c:numRef>
              <c:f>'participaciones IED'!$F$54:$F$60</c:f>
              <c:numCache>
                <c:formatCode>General</c:formatCode>
                <c:ptCount val="7"/>
                <c:pt idx="0">
                  <c:v>2125.3069267720898</c:v>
                </c:pt>
                <c:pt idx="1">
                  <c:v>846.58003626118204</c:v>
                </c:pt>
                <c:pt idx="2">
                  <c:v>957.35068398159194</c:v>
                </c:pt>
                <c:pt idx="3">
                  <c:v>1541.713782519301</c:v>
                </c:pt>
                <c:pt idx="4">
                  <c:v>1409.8169525393168</c:v>
                </c:pt>
                <c:pt idx="5">
                  <c:v>1914.473784671758</c:v>
                </c:pt>
                <c:pt idx="6">
                  <c:v>1103.8064290253667</c:v>
                </c:pt>
              </c:numCache>
            </c:numRef>
          </c:val>
          <c:extLst>
            <c:ext xmlns:c16="http://schemas.microsoft.com/office/drawing/2014/chart" uri="{C3380CC4-5D6E-409C-BE32-E72D297353CC}">
              <c16:uniqueId val="{00000003-D3C6-8C4B-80AA-45F2416EB6C4}"/>
            </c:ext>
          </c:extLst>
        </c:ser>
        <c:ser>
          <c:idx val="4"/>
          <c:order val="4"/>
          <c:tx>
            <c:strRef>
              <c:f>'participaciones IED'!$G$53</c:f>
              <c:strCache>
                <c:ptCount val="1"/>
                <c:pt idx="0">
                  <c:v>Servicios financieros y empresariales</c:v>
                </c:pt>
              </c:strCache>
            </c:strRef>
          </c:tx>
          <c:spPr>
            <a:solidFill>
              <a:schemeClr val="accent5"/>
            </a:solidFill>
            <a:ln>
              <a:noFill/>
            </a:ln>
            <a:effectLst/>
          </c:spPr>
          <c:invertIfNegative val="0"/>
          <c:cat>
            <c:numRef>
              <c:f>'participaciones IED'!$B$54:$B$60</c:f>
              <c:numCache>
                <c:formatCode>General</c:formatCode>
                <c:ptCount val="7"/>
                <c:pt idx="0">
                  <c:v>2019</c:v>
                </c:pt>
                <c:pt idx="1">
                  <c:v>2020</c:v>
                </c:pt>
                <c:pt idx="2">
                  <c:v>2021</c:v>
                </c:pt>
                <c:pt idx="3">
                  <c:v>2022</c:v>
                </c:pt>
                <c:pt idx="4">
                  <c:v>2023</c:v>
                </c:pt>
                <c:pt idx="5">
                  <c:v>2024</c:v>
                </c:pt>
                <c:pt idx="6">
                  <c:v>2025</c:v>
                </c:pt>
              </c:numCache>
            </c:numRef>
          </c:cat>
          <c:val>
            <c:numRef>
              <c:f>'participaciones IED'!$G$54:$G$60</c:f>
              <c:numCache>
                <c:formatCode>General</c:formatCode>
                <c:ptCount val="7"/>
                <c:pt idx="0">
                  <c:v>3132.2934644094639</c:v>
                </c:pt>
                <c:pt idx="1">
                  <c:v>1920.464441405574</c:v>
                </c:pt>
                <c:pt idx="2">
                  <c:v>2402.3707714435759</c:v>
                </c:pt>
                <c:pt idx="3">
                  <c:v>6057.3640445268638</c:v>
                </c:pt>
                <c:pt idx="4">
                  <c:v>2730.5625861034587</c:v>
                </c:pt>
                <c:pt idx="5">
                  <c:v>4245.8495872724998</c:v>
                </c:pt>
                <c:pt idx="6">
                  <c:v>3613.1498731696101</c:v>
                </c:pt>
              </c:numCache>
            </c:numRef>
          </c:val>
          <c:extLst>
            <c:ext xmlns:c16="http://schemas.microsoft.com/office/drawing/2014/chart" uri="{C3380CC4-5D6E-409C-BE32-E72D297353CC}">
              <c16:uniqueId val="{00000004-D3C6-8C4B-80AA-45F2416EB6C4}"/>
            </c:ext>
          </c:extLst>
        </c:ser>
        <c:ser>
          <c:idx val="5"/>
          <c:order val="5"/>
          <c:tx>
            <c:strRef>
              <c:f>'participaciones IED'!$H$53</c:f>
              <c:strCache>
                <c:ptCount val="1"/>
                <c:pt idx="0">
                  <c:v>Electricidad, gas y agua</c:v>
                </c:pt>
              </c:strCache>
            </c:strRef>
          </c:tx>
          <c:spPr>
            <a:solidFill>
              <a:schemeClr val="accent6"/>
            </a:solidFill>
            <a:ln>
              <a:noFill/>
            </a:ln>
            <a:effectLst/>
          </c:spPr>
          <c:invertIfNegative val="0"/>
          <c:cat>
            <c:numRef>
              <c:f>'participaciones IED'!$B$54:$B$60</c:f>
              <c:numCache>
                <c:formatCode>General</c:formatCode>
                <c:ptCount val="7"/>
                <c:pt idx="0">
                  <c:v>2019</c:v>
                </c:pt>
                <c:pt idx="1">
                  <c:v>2020</c:v>
                </c:pt>
                <c:pt idx="2">
                  <c:v>2021</c:v>
                </c:pt>
                <c:pt idx="3">
                  <c:v>2022</c:v>
                </c:pt>
                <c:pt idx="4">
                  <c:v>2023</c:v>
                </c:pt>
                <c:pt idx="5">
                  <c:v>2024</c:v>
                </c:pt>
                <c:pt idx="6">
                  <c:v>2025</c:v>
                </c:pt>
              </c:numCache>
            </c:numRef>
          </c:cat>
          <c:val>
            <c:numRef>
              <c:f>'participaciones IED'!$H$54:$H$60</c:f>
              <c:numCache>
                <c:formatCode>General</c:formatCode>
                <c:ptCount val="7"/>
                <c:pt idx="0">
                  <c:v>316.03291698555012</c:v>
                </c:pt>
                <c:pt idx="1">
                  <c:v>763.85171848948926</c:v>
                </c:pt>
                <c:pt idx="2">
                  <c:v>1041.2694969726881</c:v>
                </c:pt>
                <c:pt idx="3">
                  <c:v>968.11350010467106</c:v>
                </c:pt>
                <c:pt idx="4">
                  <c:v>844.09746495533409</c:v>
                </c:pt>
                <c:pt idx="5">
                  <c:v>912.27344280863099</c:v>
                </c:pt>
                <c:pt idx="6">
                  <c:v>774.35887225520901</c:v>
                </c:pt>
              </c:numCache>
            </c:numRef>
          </c:val>
          <c:extLst>
            <c:ext xmlns:c16="http://schemas.microsoft.com/office/drawing/2014/chart" uri="{C3380CC4-5D6E-409C-BE32-E72D297353CC}">
              <c16:uniqueId val="{00000005-D3C6-8C4B-80AA-45F2416EB6C4}"/>
            </c:ext>
          </c:extLst>
        </c:ser>
        <c:ser>
          <c:idx val="6"/>
          <c:order val="6"/>
          <c:tx>
            <c:strRef>
              <c:f>'participaciones IED'!$I$53</c:f>
              <c:strCache>
                <c:ptCount val="1"/>
                <c:pt idx="0">
                  <c:v>Otros</c:v>
                </c:pt>
              </c:strCache>
            </c:strRef>
          </c:tx>
          <c:spPr>
            <a:solidFill>
              <a:schemeClr val="accent1">
                <a:lumMod val="60000"/>
              </a:schemeClr>
            </a:solidFill>
            <a:ln>
              <a:noFill/>
            </a:ln>
            <a:effectLst/>
          </c:spPr>
          <c:invertIfNegative val="0"/>
          <c:cat>
            <c:numRef>
              <c:f>'participaciones IED'!$B$54:$B$60</c:f>
              <c:numCache>
                <c:formatCode>General</c:formatCode>
                <c:ptCount val="7"/>
                <c:pt idx="0">
                  <c:v>2019</c:v>
                </c:pt>
                <c:pt idx="1">
                  <c:v>2020</c:v>
                </c:pt>
                <c:pt idx="2">
                  <c:v>2021</c:v>
                </c:pt>
                <c:pt idx="3">
                  <c:v>2022</c:v>
                </c:pt>
                <c:pt idx="4">
                  <c:v>2023</c:v>
                </c:pt>
                <c:pt idx="5">
                  <c:v>2024</c:v>
                </c:pt>
                <c:pt idx="6">
                  <c:v>2025</c:v>
                </c:pt>
              </c:numCache>
            </c:numRef>
          </c:cat>
          <c:val>
            <c:numRef>
              <c:f>'participaciones IED'!$I$54:$I$60</c:f>
              <c:numCache>
                <c:formatCode>General</c:formatCode>
                <c:ptCount val="7"/>
                <c:pt idx="0">
                  <c:v>2799.2836327624282</c:v>
                </c:pt>
                <c:pt idx="1">
                  <c:v>2138.0328621595481</c:v>
                </c:pt>
                <c:pt idx="2">
                  <c:v>2290.9329017562218</c:v>
                </c:pt>
                <c:pt idx="3">
                  <c:v>3052.4730909238237</c:v>
                </c:pt>
                <c:pt idx="4">
                  <c:v>2341.5256670026433</c:v>
                </c:pt>
                <c:pt idx="5">
                  <c:v>1305.7540393649977</c:v>
                </c:pt>
                <c:pt idx="6">
                  <c:v>1624.0098948081898</c:v>
                </c:pt>
              </c:numCache>
            </c:numRef>
          </c:val>
          <c:extLst>
            <c:ext xmlns:c16="http://schemas.microsoft.com/office/drawing/2014/chart" uri="{C3380CC4-5D6E-409C-BE32-E72D297353CC}">
              <c16:uniqueId val="{00000006-D3C6-8C4B-80AA-45F2416EB6C4}"/>
            </c:ext>
          </c:extLst>
        </c:ser>
        <c:dLbls>
          <c:showLegendKey val="0"/>
          <c:showVal val="0"/>
          <c:showCatName val="0"/>
          <c:showSerName val="0"/>
          <c:showPercent val="0"/>
          <c:showBubbleSize val="0"/>
        </c:dLbls>
        <c:gapWidth val="150"/>
        <c:overlap val="100"/>
        <c:axId val="1519120560"/>
        <c:axId val="1519125840"/>
      </c:barChart>
      <c:lineChart>
        <c:grouping val="standard"/>
        <c:varyColors val="0"/>
        <c:ser>
          <c:idx val="7"/>
          <c:order val="7"/>
          <c:tx>
            <c:v>IED (% PIB)</c:v>
          </c:tx>
          <c:spPr>
            <a:ln w="28575" cap="rnd">
              <a:solidFill>
                <a:schemeClr val="accent2">
                  <a:lumMod val="60000"/>
                </a:schemeClr>
              </a:solidFill>
              <a:round/>
            </a:ln>
            <a:effectLst/>
          </c:spPr>
          <c:marker>
            <c:symbol val="none"/>
          </c:marker>
          <c:val>
            <c:numRef>
              <c:f>'participaciones IED'!$D$63:$D$69</c:f>
              <c:numCache>
                <c:formatCode>General</c:formatCode>
                <c:ptCount val="7"/>
                <c:pt idx="0">
                  <c:v>4.3318329616546102E-2</c:v>
                </c:pt>
                <c:pt idx="1">
                  <c:v>2.7499884514333123E-2</c:v>
                </c:pt>
                <c:pt idx="2">
                  <c:v>3.0063993777587786E-2</c:v>
                </c:pt>
                <c:pt idx="3">
                  <c:v>4.9593726758129994E-2</c:v>
                </c:pt>
                <c:pt idx="4">
                  <c:v>4.5488781579970175E-2</c:v>
                </c:pt>
                <c:pt idx="5">
                  <c:v>3.2558274428818583E-2</c:v>
                </c:pt>
                <c:pt idx="6">
                  <c:v>2.4994961230600181E-2</c:v>
                </c:pt>
              </c:numCache>
            </c:numRef>
          </c:val>
          <c:smooth val="0"/>
          <c:extLst>
            <c:ext xmlns:c16="http://schemas.microsoft.com/office/drawing/2014/chart" uri="{C3380CC4-5D6E-409C-BE32-E72D297353CC}">
              <c16:uniqueId val="{00000007-D3C6-8C4B-80AA-45F2416EB6C4}"/>
            </c:ext>
          </c:extLst>
        </c:ser>
        <c:dLbls>
          <c:showLegendKey val="0"/>
          <c:showVal val="0"/>
          <c:showCatName val="0"/>
          <c:showSerName val="0"/>
          <c:showPercent val="0"/>
          <c:showBubbleSize val="0"/>
        </c:dLbls>
        <c:marker val="1"/>
        <c:smooth val="0"/>
        <c:axId val="44081760"/>
        <c:axId val="44091360"/>
      </c:lineChart>
      <c:catAx>
        <c:axId val="151912056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crossAx val="1519125840"/>
        <c:crosses val="autoZero"/>
        <c:auto val="1"/>
        <c:lblAlgn val="ctr"/>
        <c:lblOffset val="100"/>
        <c:noMultiLvlLbl val="0"/>
      </c:catAx>
      <c:valAx>
        <c:axId val="1519125840"/>
        <c:scaling>
          <c:orientation val="minMax"/>
          <c:max val="18000"/>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crossAx val="1519120560"/>
        <c:crosses val="autoZero"/>
        <c:crossBetween val="between"/>
        <c:majorUnit val="3000"/>
      </c:valAx>
      <c:valAx>
        <c:axId val="44091360"/>
        <c:scaling>
          <c:orientation val="minMax"/>
        </c:scaling>
        <c:delete val="0"/>
        <c:axPos val="r"/>
        <c:numFmt formatCode="0%" sourceLinked="0"/>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crossAx val="44081760"/>
        <c:crosses val="max"/>
        <c:crossBetween val="between"/>
      </c:valAx>
      <c:catAx>
        <c:axId val="44081760"/>
        <c:scaling>
          <c:orientation val="minMax"/>
        </c:scaling>
        <c:delete val="1"/>
        <c:axPos val="b"/>
        <c:majorTickMark val="out"/>
        <c:minorTickMark val="none"/>
        <c:tickLblPos val="nextTo"/>
        <c:crossAx val="44091360"/>
        <c:crosses val="autoZero"/>
        <c:auto val="1"/>
        <c:lblAlgn val="ctr"/>
        <c:lblOffset val="100"/>
        <c:noMultiLvlLbl val="0"/>
      </c:catAx>
      <c:spPr>
        <a:noFill/>
        <a:ln w="25400">
          <a:noFill/>
        </a:ln>
        <a:effectLst/>
      </c:spPr>
    </c:plotArea>
    <c:legend>
      <c:legendPos val="b"/>
      <c:layout>
        <c:manualLayout>
          <c:xMode val="edge"/>
          <c:yMode val="edge"/>
          <c:x val="5.9571237762745824E-2"/>
          <c:y val="0.73134584456337826"/>
          <c:w val="0.90101259255182109"/>
          <c:h val="0.22908729261163016"/>
        </c:manualLayout>
      </c:layout>
      <c:overlay val="0"/>
      <c:spPr>
        <a:noFill/>
        <a:ln>
          <a:noFill/>
        </a:ln>
        <a:effectLst>
          <a:softEdge rad="0"/>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CO"/>
    </a:p>
  </c:txPr>
  <c:externalData r:id="rId3">
    <c:autoUpdate val="0"/>
  </c:externalData>
</c:chartSpace>
</file>

<file path=word/charts/colors1.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Personalizado 1">
      <a:dk1>
        <a:sysClr val="windowText" lastClr="000000"/>
      </a:dk1>
      <a:lt1>
        <a:sysClr val="window" lastClr="FFFFFF"/>
      </a:lt1>
      <a:dk2>
        <a:srgbClr val="0E2841"/>
      </a:dk2>
      <a:lt2>
        <a:srgbClr val="E8E8E8"/>
      </a:lt2>
      <a:accent1>
        <a:srgbClr val="E83B3B"/>
      </a:accent1>
      <a:accent2>
        <a:srgbClr val="8BC5CC"/>
      </a:accent2>
      <a:accent3>
        <a:srgbClr val="3166AF"/>
      </a:accent3>
      <a:accent4>
        <a:srgbClr val="1D1D1B"/>
      </a:accent4>
      <a:accent5>
        <a:srgbClr val="F18979"/>
      </a:accent5>
      <a:accent6>
        <a:srgbClr val="9EA9D6"/>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7F6BCE-D726-482A-920C-7325CA2E0D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3438</Words>
  <Characters>18914</Characters>
  <Application>Microsoft Office Word</Application>
  <DocSecurity>0</DocSecurity>
  <Lines>157</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 Espinal Valencia</dc:creator>
  <cp:keywords/>
  <dc:description/>
  <cp:lastModifiedBy>Santiago Tupaz Ramirez</cp:lastModifiedBy>
  <cp:revision>2</cp:revision>
  <dcterms:created xsi:type="dcterms:W3CDTF">2026-04-25T16:43:00Z</dcterms:created>
  <dcterms:modified xsi:type="dcterms:W3CDTF">2026-04-25T16:43:00Z</dcterms:modified>
</cp:coreProperties>
</file>