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63F724" w14:textId="77777777" w:rsidR="00576667" w:rsidRDefault="00000000">
      <w:pPr>
        <w:spacing w:before="200" w:after="60"/>
      </w:pPr>
      <w:r>
        <w:rPr>
          <w:b/>
          <w:bCs/>
          <w:color w:val="1F3864"/>
          <w:sz w:val="40"/>
          <w:szCs w:val="40"/>
        </w:rPr>
        <w:t>PIB potencial y NAIRU: revisión de la literatura reciente</w:t>
      </w:r>
    </w:p>
    <w:p w14:paraId="7B0CE8FB" w14:textId="77777777" w:rsidR="00576667" w:rsidRDefault="00000000">
      <w:pPr>
        <w:spacing w:after="60"/>
      </w:pPr>
      <w:r>
        <w:rPr>
          <w:color w:val="595959"/>
          <w:sz w:val="26"/>
          <w:szCs w:val="26"/>
        </w:rPr>
        <w:t>Colombia (CARF, Banco de la República) y referentes internacionales (CBO/FRED, Reserva Federal, FMI), 2020–2026</w:t>
      </w:r>
    </w:p>
    <w:p w14:paraId="3952DB45" w14:textId="77777777" w:rsidR="00576667" w:rsidRDefault="00000000">
      <w:pPr>
        <w:spacing w:after="40"/>
      </w:pPr>
      <w:r>
        <w:rPr>
          <w:i/>
          <w:iCs/>
          <w:color w:val="595959"/>
        </w:rPr>
        <w:t xml:space="preserve">Proyecto scraping-NAIRU — Coyuntura Económica, Universidad EAFIT</w:t>
      </w:r>
    </w:p>
    <w:p w14:paraId="3AB2CA19" w14:textId="77777777" w:rsidR="00576667" w:rsidRDefault="00000000">
      <w:pPr>
        <w:pBdr>
          <w:bottom w:val="single" w:sz="8" w:space="4" w:color="1F3864"/>
        </w:pBdr>
        <w:spacing w:after="200"/>
      </w:pPr>
      <w:r>
        <w:rPr>
          <w:color w:val="595959"/>
        </w:rPr>
        <w:t>Julio de 2026</w:t>
      </w:r>
    </w:p>
    <w:p w14:paraId="77FFE75D" w14:textId="77777777" w:rsidR="00576667" w:rsidRDefault="00000000">
      <w:pPr>
        <w:pStyle w:val="Ttulo1"/>
        <w:spacing w:before="320" w:after="180"/>
      </w:pPr>
      <w:r>
        <w:rPr>
          <w:b/>
          <w:bCs/>
          <w:color w:val="1F3864"/>
          <w:sz w:val="30"/>
          <w:szCs w:val="30"/>
        </w:rPr>
        <w:t>1. Introducción y alcance</w:t>
      </w:r>
    </w:p>
    <w:p w14:paraId="2F5BC329" w14:textId="71DD994B" w:rsidR="00576667" w:rsidRDefault="00000000">
      <w:pPr>
        <w:spacing w:after="160" w:line="276" w:lineRule="auto"/>
        <w:jc w:val="both"/>
      </w:pPr>
      <w:r>
        <w:t xml:space="preserve">El producto potencial y la NAIRU son las dos variables no observables que organizan buena parte del análisis de coyuntura: la primera define cuánto puede producir la economía sin generar presiones inflacionarias y, por diferencia con el PIB observado, la brecha del producto; la segunda define el nivel de desempleo compatible con una inflación estable y, por diferencia con la tasa de desempleo observada, la holgura del mercado laboral. Ninguna de las dos se mide directamente: ambas se estiman, y la elección del método —filtros estadísticos, función de producción, modelos semiestructúrales con filtro de Kalman o VAR estructurales— condiciona el diagnóstico de política.</w:t>
      </w:r>
    </w:p>
    <w:p w14:paraId="6E5AD6C8" w14:textId="77777777" w:rsidR="00576667" w:rsidRDefault="00000000">
      <w:pPr>
        <w:spacing w:after="160" w:line="276" w:lineRule="auto"/>
        <w:jc w:val="both"/>
      </w:pPr>
      <w:r>
        <w:t xml:space="preserve">Esta revisión se concentra en lo publicado en los últimos años (aproximadamente 2020–2026), con énfasis en Colombia: las notas técnicas y actualizaciones del Comité Autónomo de la Regla Fiscal (CARF) sobre el PIB tendencial, la producción del Banco de la República (Borradores de Economía, Informes de Política Monetaria y Reportes del Mercado Laboral) y las evaluaciones de organismos externos (FMI, OCDE) y centros de pensamiento (Fedesarrollo). Como marco de referencia internacional se revisan la metodología de la Congressional Budget Office (CBO) —cuyas series de PIB potencial y tasa de desempleo no cíclica son las que se descargan de FRED—, la literatura reciente de la Reserva Federal sobre la tasa natural de desempleo (u*) y el debate pos-pandemia sobre la curva de Phillips y los filtros de tendencia. Se incluyen, de manera selectiva, los antecedentes colombianos canónicos (Gómez y Julio, 2000; Arango, García y Posada, 2007; Tamayo, 2008) necesarios para leer la literatura reciente en perspectiva.</w:t>
      </w:r>
    </w:p>
    <w:p w14:paraId="2DEE9D29" w14:textId="77777777" w:rsidR="00576667" w:rsidRDefault="00000000">
      <w:pPr>
        <w:spacing w:after="160" w:line="276" w:lineRule="auto"/>
        <w:jc w:val="both"/>
      </w:pPr>
      <w:r>
        <w:t xml:space="preserve">La revisión está pensada como soporte del proyecto scraping-NAIRU, que estima para Colombia una NAIRU y una NAICU mensuales mediante un filtro de Kalman biestado y un PIB potencial trimestral vía función de producción Cobb-Douglas con PTF tendencial extraída con el filtro Boosted HP (Phillips y Shi, 2021). La sección final posiciona el proyecto frente a la literatura y señala los vacíos que este ayuda a llenar.</w:t>
      </w:r>
    </w:p>
    <w:p w14:paraId="360FF3F4" w14:textId="77777777" w:rsidR="00576667" w:rsidRDefault="00000000">
      <w:pPr>
        <w:pStyle w:val="Ttulo1"/>
        <w:spacing w:before="320" w:after="180"/>
      </w:pPr>
      <w:r>
        <w:rPr>
          <w:b/>
          <w:bCs/>
          <w:color w:val="1F3864"/>
          <w:sz w:val="30"/>
          <w:szCs w:val="30"/>
        </w:rPr>
        <w:t>2. Mapa conceptual y metodológico</w:t>
      </w:r>
    </w:p>
    <w:p w14:paraId="1D0EAB1D" w14:textId="77777777" w:rsidR="00576667" w:rsidRDefault="00000000">
      <w:pPr>
        <w:spacing w:after="160" w:line="276" w:lineRule="auto"/>
        <w:jc w:val="both"/>
      </w:pPr>
      <w:r>
        <w:t xml:space="preserve">Conviene fijar tres distinciones que la literatura reciente usa de manera cada vez más explícita. Primero, PIB potencial versus PIB tendencial: el potencial es el nivel de producto coherente con inflación estable (un concepto de modelo, típicamente neokeynesiano), mientras que el tendencial es el componente de baja frecuencia de la serie observada (un concepto estadístico). El Banco de la República hace explícita esta distinción en su Informe de Política Monetaria desde enero de 2020, y la regla fiscal colombiana se ancla deliberadamente al concepto tendencial, operado por el CARF. Segundo, NAIRU versus tasa natural </w:t>
        <w:lastRenderedPageBreak/>
        <w:t xml:space="preserve">de largo plazo: la primera es la tasa de desempleo compatible con estabilidad de precios en el corto y mediano plazo (u*SP en la terminología de la Reserva Federal), la segunda una tasa estructural determinada por demografía e instituciones laborales (u*LR); ambas pueden divergir de forma persistente, como ocurrió tras la pandemia (Bok, Crump, Nekarda y Petrosky-Nadeau, 2023). Tercero, las familias de métodos:</w:t>
      </w:r>
    </w:p>
    <w:p w14:paraId="56C73859" w14:textId="77777777" w:rsidR="00576667" w:rsidRDefault="00000000">
      <w:pPr>
        <w:pStyle w:val="Prrafodelista"/>
        <w:numPr>
          <w:ilvl w:val="0"/>
          <w:numId w:val="2"/>
        </w:numPr>
        <w:spacing w:after="100" w:line="276" w:lineRule="auto"/>
        <w:jc w:val="both"/>
      </w:pPr>
      <w:r>
        <w:rPr>
          <w:b/>
          <w:bCs/>
        </w:rPr>
        <w:t xml:space="preserve">Filtros univariados </w:t>
      </w:r>
      <w:r>
        <w:t xml:space="preserve">(HP, Baxter-King, Christiano-Fitzgerald, Butterworth, Hamilton, Boosted HP): baratos y replicables, pero sin contenido económico y sensibles al problema de fin de muestra.</w:t>
      </w:r>
    </w:p>
    <w:p w14:paraId="33C98CBE" w14:textId="77777777" w:rsidR="00576667" w:rsidRDefault="00000000">
      <w:pPr>
        <w:pStyle w:val="Prrafodelista"/>
        <w:numPr>
          <w:ilvl w:val="0"/>
          <w:numId w:val="2"/>
        </w:numPr>
        <w:spacing w:after="100" w:line="276" w:lineRule="auto"/>
        <w:jc w:val="both"/>
      </w:pPr>
      <w:r>
        <w:rPr>
          <w:b/>
          <w:bCs/>
        </w:rPr>
        <w:t xml:space="preserve">Función de producción </w:t>
      </w:r>
      <w:r>
        <w:t>(Cobb-Douglas con capital, trabajo y PTF): descompone el crecimiento en contribuciones de factores; es el estándar de CBO, CARF y FMI para proyectar el potencial de mediano plazo.</w:t>
      </w:r>
    </w:p>
    <w:p w14:paraId="562929C4" w14:textId="77777777" w:rsidR="00576667" w:rsidRDefault="00000000">
      <w:pPr>
        <w:pStyle w:val="Prrafodelista"/>
        <w:numPr>
          <w:ilvl w:val="0"/>
          <w:numId w:val="2"/>
        </w:numPr>
        <w:spacing w:after="100" w:line="276" w:lineRule="auto"/>
        <w:jc w:val="both"/>
      </w:pPr>
      <w:r>
        <w:rPr>
          <w:b/>
          <w:bCs/>
        </w:rPr>
        <w:t xml:space="preserve">Modelos semiestructurales de estados no observados </w:t>
      </w:r>
      <w:r>
        <w:t>(curva de Phillips + ley de Okun estimadas con filtro de Kalman): identifican la NAIRU y la brecha con contenido económico; son el estándar de los bancos centrales (4GM en Colombia, u*SP en la Fed).</w:t>
      </w:r>
    </w:p>
    <w:p w14:paraId="04342EC1" w14:textId="77777777" w:rsidR="00576667" w:rsidRDefault="00000000">
      <w:pPr>
        <w:pStyle w:val="Prrafodelista"/>
        <w:numPr>
          <w:ilvl w:val="0"/>
          <w:numId w:val="2"/>
        </w:numPr>
        <w:spacing w:after="100" w:line="276" w:lineRule="auto"/>
        <w:jc w:val="both"/>
      </w:pPr>
      <w:r>
        <w:rPr>
          <w:b/>
          <w:bCs/>
        </w:rPr>
        <w:t xml:space="preserve">VAR estructurales </w:t>
      </w:r>
      <w:r>
        <w:t>con restricciones de largo plazo, robustos a episodios extremos como el COVID (Granados y Parra-Amado, 2023).</w:t>
      </w:r>
    </w:p>
    <w:p w14:paraId="60F260D4" w14:textId="77777777" w:rsidR="00576667" w:rsidRDefault="00000000">
      <w:pPr>
        <w:pStyle w:val="Ttulo1"/>
        <w:spacing w:before="320" w:after="180"/>
      </w:pPr>
      <w:r>
        <w:rPr>
          <w:b/>
          <w:bCs/>
          <w:color w:val="1F3864"/>
          <w:sz w:val="30"/>
          <w:szCs w:val="30"/>
        </w:rPr>
        <w:t>3. La literatura colombiana reciente</w:t>
      </w:r>
    </w:p>
    <w:p w14:paraId="4D798021" w14:textId="77777777" w:rsidR="00576667" w:rsidRDefault="00000000">
      <w:pPr>
        <w:pStyle w:val="Ttulo2"/>
        <w:spacing w:before="260" w:after="140"/>
      </w:pPr>
      <w:r>
        <w:rPr>
          <w:b/>
          <w:bCs/>
          <w:color w:val="2E5395"/>
          <w:sz w:val="25"/>
          <w:szCs w:val="25"/>
        </w:rPr>
        <w:t>3.1. El CARF y el PIB tendencial de la regla fiscal</w:t>
      </w:r>
    </w:p>
    <w:p w14:paraId="49354708" w14:textId="77777777" w:rsidR="00576667" w:rsidRDefault="00000000">
      <w:pPr>
        <w:spacing w:after="160" w:line="276" w:lineRule="auto"/>
        <w:jc w:val="both"/>
      </w:pPr>
      <w:r>
        <w:t xml:space="preserve">La referencia institucional más importante de los últimos años es la del Comité Autónomo de la Regla Fiscal, creado por la Ley 2155 de 2021. Como la regla fiscal define el balance primario neto estructural descontando el ciclo económico, el CARF debe producir y publicar una estimación propia del PIB tendencial. Su nota técnica fundacional, PIB Tendencial en Colombia: Metodología y Resultados (CARF, 2022), documenta el enfoque de función de producción con contribuciones de trabajo, capital y productividad, y es el documento metodológico contra el cual se leen las actualizaciones posteriores. La primera actualización formal (Actualización del PIB Tendencial para Colombia 2023–2034, CARF, 2023) revisó los insumos demográficos y de inversión tras la recuperación pos-pandemia.</w:t>
      </w:r>
    </w:p>
    <w:p w14:paraId="1BF2DDF8" w14:textId="77777777" w:rsidR="00576667" w:rsidRDefault="00000000">
      <w:pPr>
        <w:spacing w:after="160" w:line="276" w:lineRule="auto"/>
        <w:jc w:val="both"/>
      </w:pPr>
      <w:r>
        <w:t>La actualización más reciente (mayo de 2026) redujo el crecimiento tendencial promedio de 2,8% a 2,6% anual para 2026–2037, con 2,7% en 2025–2029 y 2,6% de 2030 en adelante. La descomposición por factores es informativa para cualquier ejercicio de función de producción: el mercado laboral aporta entre 0,5 y 0,7 puntos porcentuales anuales hasta comienzos de la década de 2030 —cuando se agota el dividendo demográfico y se modera la participación—, el capital gana protagonismo después de 2030 bajo el supuesto de menores tasas reales, y la PTF se mantiene constante en niveles moderados durante todo el horizonte, sin aportar impulso ni lastre. El diagnóstico de fondo del CARF, reiterado en su Informe al Congreso de abril de 2026, es el de una economía cuyo techo de crecimiento se ha reducido de manera persistente frente al promedio histórico. Estas cifras contrastan con los supuestos del Marco Fiscal de Mediano Plazo 2025 del Ministerio de Hacienda, que sirve de contrapunto oficial y cuyos supuestos macroeconómicos el propio CARF evalúa en sus documentos de análisis técnico.</w:t>
      </w:r>
    </w:p>
    <w:p w14:paraId="4F3A2153" w14:textId="77777777" w:rsidR="00576667" w:rsidRDefault="00000000">
      <w:pPr>
        <w:pStyle w:val="Ttulo2"/>
        <w:spacing w:before="260" w:after="140"/>
      </w:pPr>
      <w:r>
        <w:rPr>
          <w:b/>
          <w:bCs/>
          <w:color w:val="2E5395"/>
          <w:sz w:val="25"/>
          <w:szCs w:val="25"/>
        </w:rPr>
        <w:lastRenderedPageBreak/>
        <w:t xml:space="preserve">3.2. Banco de la República: brecha del producto, 4GM y la estimación pos-COVID</w:t>
      </w:r>
    </w:p>
    <w:p w14:paraId="041D49C5" w14:textId="77777777" w:rsidR="00576667" w:rsidRDefault="00000000">
      <w:pPr>
        <w:spacing w:after="160" w:line="276" w:lineRule="auto"/>
        <w:jc w:val="both"/>
      </w:pPr>
      <w:r>
        <w:t xml:space="preserve">La medición de referencia de la brecha del producto para la política monetaria es la del equipo técnico del Banco de la República. El punto de partida moderno es el Recuadro 1 del Informe de Política Monetaria de enero de 2020 (Nuevas estimaciones del PIB potencial (tendencial) y la brecha del producto en Colombia), que presentó la batería actual de estimaciones y formalizó la distinción entre el potencial de modelo y el tendencial estadístico. El vehículo central es 4GM, el modelo semiestructural neokeynesiano de economía pequeña, abierta y exportadora de petróleo con el que el Banco produce pronóstico y análisis de política (González, Guarín, Rodríguez y Vargas, 2020; Borrador de Economía 1085), en el cual el producto potencial y las tasas naturales se tratan como estados no observados estimados con filtro de Kalman.</w:t>
      </w:r>
    </w:p>
    <w:p w14:paraId="72A3AB28" w14:textId="77777777" w:rsidR="00576667" w:rsidRDefault="00000000">
      <w:pPr>
        <w:spacing w:after="160" w:line="276" w:lineRule="auto"/>
        <w:jc w:val="both"/>
      </w:pPr>
      <w:r>
        <w:t xml:space="preserve">Dos Borradores de Economía recientes actualizan esta agenda. Granados y Parra-Amado (2023, Borrador 1249) atacan el problema práctico más serio de la última década: cómo estimar la brecha del producto cuando la muestra incluye el desplome y rebote del COVID. Proponen un VAR estructural bayesiano con identificación permanente-transitoria basada en la relación de largo plazo entre consumo y producto, y re-escalan la varianza de los residuos alrededor de 2020, lo que evita cambios abruptos de especificación; encuentran que un único choque estructural basta para explicar el componente permanente del PIB. La lección metodológica —tratar el COVID con varianzas infladas en lugar de dummies ad hoc— es directamente aplicable a cualquier filtro de Kalman estimado sobre muestras que crucen 2020.</w:t>
      </w:r>
    </w:p>
    <w:p w14:paraId="0BEA1E43" w14:textId="77777777" w:rsidR="00576667" w:rsidRDefault="00000000">
      <w:pPr>
        <w:spacing w:after="160" w:line="276" w:lineRule="auto"/>
        <w:jc w:val="both"/>
      </w:pPr>
      <w:r>
        <w:t>Por su parte, Ramos-Veloza, Naranjo-Saldarriaga y Pulido (2026, Borrador 1341) amplían 4GM con un bloque laboral explícito mediante cuatro mecanismos: retroalimentación de salarios a costos marginales (espiral precios-salarios), efecto de la NAIRU sobre el producto potencial, una ley de Okun que vincula el desempleo cíclico con la brecha del producto, y efectos del salario real y el desempleo sobre la demanda agregada. Su resultado central es que la tensión del mercado laboral amplifica las presiones inflacionarias y retrasa el ajuste, y que el bloque laboral mejora la capacidad del modelo para distinguir choques de oferta de choques de demanda. Este es, a la fecha, el estado del arte de la NAIRU dentro del aparato de pronóstico del banco central colombiano, y valida la decisión de modelar conjuntamente desempleo, inflación y producto. En cuanto a la lectura de coyuntura, el Informe de Política Monetaria de enero de 2026 describe una economía que entra a 2026 con demanda interna fuerte y exceso de gasto —una brecha del producto positiva— que presiona la inflación y el déficit de cuenta corriente.</w:t>
      </w:r>
    </w:p>
    <w:p w14:paraId="2F97A611" w14:textId="77777777" w:rsidR="00576667" w:rsidRDefault="00000000">
      <w:pPr>
        <w:pStyle w:val="Ttulo2"/>
        <w:spacing w:before="260" w:after="140"/>
      </w:pPr>
      <w:r>
        <w:rPr>
          <w:b/>
          <w:bCs/>
          <w:color w:val="2E5395"/>
          <w:sz w:val="25"/>
          <w:szCs w:val="25"/>
        </w:rPr>
        <w:t>3.3. La NAIRU en Colombia: antecedentes y práctica actual</w:t>
      </w:r>
    </w:p>
    <w:p w14:paraId="67CA96B7" w14:textId="77777777" w:rsidR="00576667" w:rsidRDefault="00000000">
      <w:pPr>
        <w:spacing w:after="160" w:line="276" w:lineRule="auto"/>
        <w:jc w:val="both"/>
      </w:pPr>
      <w:r>
        <w:t>La literatura colombiana sobre NAIRU tiene un canon claro. Gómez y Julio (2000) la incorporaron a la discusión del esquema de inflación objetivo; Arango, García y Posada (2007, Borrador 453) estimaron una NAIRU cambiante en el tiempo que promedió 11,9% entre 1984 y 2005 e introdujeron la TADECIM, la tasa de desempleo compatible con alcanzar la meta de inflación; y Tamayo (2008, Borrador 491) estimó la tasa natural con un modelo de negociación salarial a la Blanchard y filtro de Kalman, atribuyendo sus movimientos a la participación laboral juvenil y a los costos laborales no salariales. Estos trabajos fijaron el menú metodológico —curva de Phillips más filtro de Kalman— que sigue vigente.</w:t>
      </w:r>
    </w:p>
    <w:p w14:paraId="6204E1B1" w14:textId="77777777" w:rsidR="00576667" w:rsidRDefault="00000000">
      <w:pPr>
        <w:spacing w:after="160" w:line="276" w:lineRule="auto"/>
        <w:jc w:val="both"/>
      </w:pPr>
      <w:r>
        <w:lastRenderedPageBreak/>
        <w:t>La práctica actual del Banco está mejor documentada en el Reporte del Mercado Laboral de julio de 2023, cuyo capítulo monográfico presenta las metodologías con que el Grupo de Análisis del Mercado Laboral (GAMLA) calcula la tasa de desempleo no inflacionaria. El reporte subraya que, al no ser observable, la NAIRU exige estimarse con múltiples metodologías; la contribución novedosa es evaluar la precisión de pronóstico de inflación de cada método y quedarse con la combinación óptima que minimiza los errores de pronóstico, en lugar de elegir un modelo único. Es el mismo espíritu de promediar modelos que aplican los bancos centrales avanzados, y una referencia obligada para cualquier estimación independiente de la NAIRU colombiana.</w:t>
      </w:r>
    </w:p>
    <w:p w14:paraId="70531CC3" w14:textId="77777777" w:rsidR="00576667" w:rsidRDefault="00000000">
      <w:pPr>
        <w:spacing w:after="160" w:line="276" w:lineRule="auto"/>
        <w:jc w:val="both"/>
      </w:pPr>
      <w:r>
        <w:t>Fuera del banco central, la producción académica reciente es escasa —un vacío en sí mismo—. El ejercicio más citable es el de Ramos y Álvarez (2020, Entramado 16(1)), que estiman una curva de Phillips aumentada por expectativas con choques de oferta (MCO y GMM) para 2001–2018 y reportan una tasa natural cercana a 6,2%; su hallazgo más llamativo es la ausencia de evidencia robusta de una relación de Phillips estable en el período, una advertencia sobre la fragilidad de identificar la NAIRU colombiana desde la curva de Phillips con muestras cortas y sin tratar los quiebres. El resultado dialoga con la literatura internacional sobre curvas de Phillips planas antes de la pandemia y empinadas después (sección 4.3).</w:t>
      </w:r>
    </w:p>
    <w:p w14:paraId="3F836066" w14:textId="77777777" w:rsidR="00576667" w:rsidRDefault="00000000">
      <w:pPr>
        <w:pStyle w:val="Ttulo2"/>
        <w:spacing w:before="260" w:after="140"/>
      </w:pPr>
      <w:r>
        <w:rPr>
          <w:b/>
          <w:bCs/>
          <w:color w:val="2E5395"/>
          <w:sz w:val="25"/>
          <w:szCs w:val="25"/>
        </w:rPr>
        <w:t>3.4. Miradas externas: FMI, OCDE y Fedesarrollo</w:t>
      </w:r>
    </w:p>
    <w:p w14:paraId="2E15F0C3" w14:textId="77777777" w:rsidR="00576667" w:rsidRDefault="00000000">
      <w:pPr>
        <w:spacing w:after="160" w:line="276" w:lineRule="auto"/>
        <w:jc w:val="both"/>
      </w:pPr>
      <w:r>
        <w:t xml:space="preserve">Las evaluaciones externas complementan las fuentes oficiales. El antecedente técnico del FMI es Lanau, Rodríguez-Delgado y Roldós (2017, WP/17/238), que combinó un filtro multivariado con una función de producción y concluyó que, en un mundo de precios del petróleo bajos, el crecimiento potencial colombiano se moderaría a un rango de 2,8%–4,1% (escenario central de 3,5%), frente al 4,3% promedio de 2000–2014. Leído desde 2026, ese rango resultó optimista: la actualización del CARF (2,6%) queda por debajo de su piso, lo que ilustra la deriva descendente de las estimaciones de potencial en la última década. La consulta del Artículo IV de 2025 (IMF Country Report 25/280) ofrece la evaluación externa más reciente del producto potencial y la posición cíclica de la economía. La OCDE (Estudios Económicos: Colombia 2024) centra su diagnóstico en que elevar el crecimiento potencial exige impulsar la inversión y la productividad, con reformas en competencia, infraestructura y formalización laboral. Desde Fedesarrollo, Clavijo (2024, Coyuntura Económica 54) argumenta que América Latina requiere crecer al menos 4% anual de forma sostenida y que Colombia enfrenta cuellos estructurales —dependencia de commodities, rezago de infraestructura, ineficiencias aduaneras y caída del coeficiente exportador— que la alejan de esa meta.</w:t>
      </w:r>
    </w:p>
    <w:p w14:paraId="1AC23C2A" w14:textId="77777777" w:rsidR="00576667" w:rsidRDefault="00000000">
      <w:pPr>
        <w:pStyle w:val="Ttulo1"/>
        <w:spacing w:before="320" w:after="180"/>
      </w:pPr>
      <w:r>
        <w:rPr>
          <w:b/>
          <w:bCs/>
          <w:color w:val="1F3864"/>
          <w:sz w:val="30"/>
          <w:szCs w:val="30"/>
        </w:rPr>
        <w:t>4. El marco internacional</w:t>
      </w:r>
    </w:p>
    <w:p w14:paraId="288ACA23" w14:textId="77777777" w:rsidR="00576667" w:rsidRDefault="00000000">
      <w:pPr>
        <w:pStyle w:val="Ttulo2"/>
        <w:spacing w:before="260" w:after="140"/>
      </w:pPr>
      <w:r>
        <w:rPr>
          <w:b/>
          <w:bCs/>
          <w:color w:val="2E5395"/>
          <w:sz w:val="25"/>
          <w:szCs w:val="25"/>
        </w:rPr>
        <w:t>4.1. CBO y FRED: el estándar institucional del PIB potencial en EE. UU.</w:t>
      </w:r>
    </w:p>
    <w:p w14:paraId="6F796100" w14:textId="77777777" w:rsidR="00576667" w:rsidRDefault="00000000">
      <w:pPr>
        <w:spacing w:after="160" w:line="276" w:lineRule="auto"/>
        <w:jc w:val="both"/>
      </w:pPr>
      <w:r>
        <w:t xml:space="preserve">Las series de PIB potencial real (GDPPOT) y de tasa de desempleo no cíclica (NROU) que se descargan de FRED no son estimaciones de la Reserva Federal sino de la Congressional Budget Office; FRED las republica con frecuencia trimestral y horizonte de proyección de una década, y en la práctica NROU funciona como la serie de referencia de NAIRU para Estados Unidos. La metodología está documentada en Shackleton (2018, CBO Working Paper 2018-03): un modelo de crecimiento tipo Solow por sectores, con funciones </w:t>
        <w:lastRenderedPageBreak/>
        <w:t xml:space="preserve">de producción Cobb-Douglas, insumos ajustados por ciclo y PTF tendencial. La CBO revisa las series al menos una vez al año; la actualización vigente aparece en The Budget and Economic Outlook: 2026 to 2036 (CBO, 2026). Para el proyecto scraping-NAIRU, que ya consume la API de FRED, estas dos series son el benchmark natural para validar los órdenes de magnitud de la brecha estadounidense que alimenta el bloque VIOG-USA del pipeline.</w:t>
      </w:r>
    </w:p>
    <w:p w14:paraId="1E8B375C" w14:textId="77777777" w:rsidR="00576667" w:rsidRDefault="00000000">
      <w:pPr>
        <w:pStyle w:val="Ttulo2"/>
        <w:spacing w:before="260" w:after="140"/>
      </w:pPr>
      <w:r>
        <w:rPr>
          <w:b/>
          <w:bCs/>
          <w:color w:val="2E5395"/>
          <w:sz w:val="25"/>
          <w:szCs w:val="25"/>
        </w:rPr>
        <w:t xml:space="preserve">4.2. u* en la Reserva Federal: estimación y divergencia pos-pandemia</w:t>
      </w:r>
    </w:p>
    <w:p w14:paraId="5DD78FB9" w14:textId="77777777" w:rsidR="00576667" w:rsidRDefault="00000000">
      <w:pPr>
        <w:spacing w:after="160" w:line="276" w:lineRule="auto"/>
        <w:jc w:val="both"/>
      </w:pPr>
      <w:r>
        <w:t xml:space="preserve">La referencia pedagógica y metodológica más útil es el primer de Bok, Crump, Nekarda y Petrosky-Nadeau (2023, FRBSF WP 2023-25), que ordena el campo distinguiendo dos benchmarks: la tasa natural de largo plazo (u*LR), determinada por fundamentos demográficos y estimada con enfoques tipo CBO, filtros de paso de banda por grupos demográficos o el mínimo alcanzable a la DeLong-Summers; y la tasa compatible con estabilidad de precios (u*SP), estimada como estado no observado en modelos de curva de Phillips en espacio de estados con filtro de Kalman —exactamente la familia de métodos del proyecto—. Su resultado empírico central es la divergencia pos-pandemia: u*SP subió hasta cerca de 6% a finales de 2021 mientras u*LR permanecía alrededor de 4,5%, con la expectativa de que la brecha se cerrara a medida que cedieran las distorsiones. La implicación práctica es que toda estimación de NAIRU debe explicitar cuál de los dos conceptos mide y reportar la incertidumbre asociada.</w:t>
      </w:r>
    </w:p>
    <w:p w14:paraId="31B19B1A" w14:textId="77777777" w:rsidR="00576667" w:rsidRDefault="00000000">
      <w:pPr>
        <w:spacing w:after="160" w:line="276" w:lineRule="auto"/>
        <w:jc w:val="both"/>
      </w:pPr>
      <w:r>
        <w:t xml:space="preserve">En la frontera de investigación, Crump, Eusepi, Giannoni y Şahin (2024, Journal of Monetary Economics 145) estiman u* combinando una curva de Phillips salarial con la curva de Beveridge y muestran que la tensión del mercado laboral —medida por vacantes sobre desempleados— elevó transitoriamente u* durante 2021–2022, lo que explica por qué la inflación estadounidense subió con tasas de desempleo históricamente bajas. Es la misma lógica de tensión laboral que el Borrador 1341 incorpora para Colombia.</w:t>
      </w:r>
    </w:p>
    <w:p w14:paraId="059807B2" w14:textId="77777777" w:rsidR="00576667" w:rsidRDefault="00000000">
      <w:pPr>
        <w:pStyle w:val="Ttulo2"/>
        <w:spacing w:before="260" w:after="140"/>
      </w:pPr>
      <w:r>
        <w:rPr>
          <w:b/>
          <w:bCs/>
          <w:color w:val="2E5395"/>
          <w:sz w:val="25"/>
          <w:szCs w:val="25"/>
        </w:rPr>
        <w:t>4.3. La curva de Phillips después del COVID: no linealidad y empinamiento</w:t>
      </w:r>
    </w:p>
    <w:p w14:paraId="346BE393" w14:textId="77777777" w:rsidR="00576667" w:rsidRDefault="00000000">
      <w:pPr>
        <w:spacing w:after="160" w:line="276" w:lineRule="auto"/>
        <w:jc w:val="both"/>
      </w:pPr>
      <w:r>
        <w:t xml:space="preserve">El episodio inflacionario 2021–2023 reactivó el debate sobre la forma de la curva de Phillips, con tres resultados que condicionan cualquier estimación de NAIRU. Primero, la no linealidad: Benigno y Eggertsson (2023, NBER WP 31197) documentan que la curva es plana cuando el mercado laboral está holgado y muy empinada cuando está tenso (vacantes por encima de desempleados), de modo que la NAIRU identificada con datos de un régimen puede ser poco informativa en el otro. Segundo, la evidencia internacional: Gudmundsson, Jackson y Portillo (2024, IMF WP 24/007) muestran que el empinamiento y desplazamiento de las curvas de Phillips durante la recuperación fue un fenómeno generalizado entre países, no una peculiaridad estadounidense —relevante para Colombia, cuya inflación superó 13% en 2023—. Tercero, la descomposición de la inflación: Ball, Leigh y Mishra (2022, Brookings Papers; actualizado en IMF WP 25/094) separan la inflación núcleo estadounidense en choques sectoriales y sobrecalentamiento del mercado laboral, y concluyen que la persistencia inflacionaria provino crecientemente del componente de tensión laboral, lo que devuelve protagonismo a la brecha de desempleo respecto de la NAIRU como estadístico de política.</w:t>
      </w:r>
    </w:p>
    <w:p w14:paraId="2A0642D0" w14:textId="77777777" w:rsidR="00576667" w:rsidRDefault="00000000">
      <w:pPr>
        <w:pStyle w:val="Ttulo2"/>
        <w:spacing w:before="260" w:after="140"/>
      </w:pPr>
      <w:r>
        <w:rPr>
          <w:b/>
          <w:bCs/>
          <w:color w:val="2E5395"/>
          <w:sz w:val="25"/>
          <w:szCs w:val="25"/>
        </w:rPr>
        <w:t xml:space="preserve">4.4. El debate de los filtros: HP, Hamilton y el Boosted HP</w:t>
      </w:r>
    </w:p>
    <w:p w14:paraId="4D3DF92F" w14:textId="77777777" w:rsidR="00576667" w:rsidRDefault="00000000">
      <w:pPr>
        <w:spacing w:after="160" w:line="276" w:lineRule="auto"/>
        <w:jc w:val="both"/>
      </w:pPr>
      <w:r>
        <w:lastRenderedPageBreak/>
        <w:t xml:space="preserve">Como el componente estadístico de cualquier estimación de potencial pasa por un filtro de tendencia, el debate metodológico importa. Hamilton (2018, Review of Economics and Statistics) argumentó que el filtro HP nunca debería usarse: induce ciclos espurios, distorsiona los extremos de la muestra —justo donde se decide la política— y depende de un parámetro de suavización arbitrario; propuso en su lugar una regresión de proyección a horizonte fijo. Drehmann y Yetman (2018, BIS WP 744) matizaron la crítica mostrando que, para propósitos específicos como las brechas de crédito, el HP puede desempeñarse mejor que las alternativas, y que no existe un filtro dominante para todo uso. La síntesis más constructiva es la de Phillips y Shi (2021, International Economic Review 62(2)), que rehabilitan el HP mediante boosting: aplicar el filtro iterativamente sobre los residuos (Boosted HP) corrige el sub-ajuste, recupera consistencia asintótica y mitiga el sesgo de fin de muestra, conservando la simplicidad del original. Esta es la justificación teórica del filtro BHP que el proyecto usa para la PTF tendencial y la brecha estadística, y conviene citarla junto con la crítica de Hamilton como análisis de robustez.</w:t>
      </w:r>
    </w:p>
    <w:p w14:paraId="5D8D4ED3" w14:textId="77777777" w:rsidR="00576667" w:rsidRDefault="00000000">
      <w:pPr>
        <w:pStyle w:val="Ttulo1"/>
        <w:spacing w:before="320" w:after="180"/>
      </w:pPr>
      <w:r>
        <w:rPr>
          <w:b/>
          <w:bCs/>
          <w:color w:val="1F3864"/>
          <w:sz w:val="30"/>
          <w:szCs w:val="30"/>
        </w:rPr>
        <w:t>5. Síntesis: convergencias, vacíos y posición del proyecto</w:t>
      </w:r>
    </w:p>
    <w:p w14:paraId="1115CAD3" w14:textId="77777777" w:rsidR="00576667" w:rsidRDefault="00000000">
      <w:pPr>
        <w:spacing w:after="160" w:line="276" w:lineRule="auto"/>
        <w:jc w:val="both"/>
      </w:pPr>
      <w:r>
        <w:t>Tres convergencias emergen de la literatura reciente. Primera, la dualidad metodológica se volvió estándar: las instituciones fiscales (CARF, CBO) proyectan el potencial con función de producción, mientras los bancos centrales (Banco de la República con 4GM, la Fed con u*SP) identifican brechas y tasas naturales con modelos de estados no observados estimados por Kalman; los ejercicios serios reportan ambas lecturas. Segunda, el tratamiento del COVID dejó de ser un detalle: escalar varianzas (Granados y Parra-Amado, 2023) o modelar explícitamente la tensión laboral (Crump et al., 2024; Ramos-Veloza et al., 2026) es hoy parte de la especificación de referencia. Tercera, la incertidumbre se reporta, no se esconde: la combinación de métodos del GAMLA (2023) y las bandas del primer de la FRBSF (2023) apuntan a presentar rangos y promedios de modelos en lugar de estimaciones puntuales.</w:t>
      </w:r>
    </w:p>
    <w:p w14:paraId="0C12AFC9" w14:textId="77777777" w:rsidR="00576667" w:rsidRDefault="00000000">
      <w:pPr>
        <w:spacing w:after="160" w:line="276" w:lineRule="auto"/>
        <w:jc w:val="both"/>
      </w:pPr>
      <w:r>
        <w:t xml:space="preserve">Los vacíos son igualmente claros. No existe una serie pública, mensual y continuamente actualizada de NAIRU para Colombia: el Banco documenta metodologías pero no publica la serie de forma sistemática, y la academia local produce estimaciones esporádicas con datos que envejecen rápido. La dimensión de capacidad instalada está prácticamente ausente: ninguna referencia colombiana estima una NAICU (tasa de utilización de capacidad no inflacionaria) que discipline el insumo de capital de la función de producción, como sí lo hace el proyecto con la UCI de la EOIC-ANDI. Y la conexión explícita entre la NAIRU estimada y el PIB potencial —que el Borrador 1341 apenas formaliza dentro de 4GM en 2026— es exactamente la arquitectura que el pipeline implementa al llevar NAIRU* y NAICU* a los factores L y K de la Cobb-Douglas. En ese sentido, el proyecto se ubica en la intersección de las dos tradiciones institucionales (función de producción a la CARF/CBO y estados no observados a la Banrep/Fed), con tres decisiones defendibles a la luz de esta revisión: el filtro de Kalman biestado (respaldado por la práctica de la Fed y del GAMLA), el Boosted HP en lugar del HP simple (respaldado por Phillips y Shi frente a la crítica de Hamilton), y la frecuencia mensual con actualización automática (el vacío operativo que ninguna fuente pública cubre). Las extensiones que la literatura sugiere son tratar la ventana COVID con varianzas escaladas, reportar bandas de incertidumbre y contrastar la estabilidad de la curva de Phillips colombiana ante la posible no linealidad del período 2021–2023.</w:t>
      </w:r>
    </w:p>
    <w:p w14:paraId="43EE6F29" w14:textId="77777777" w:rsidR="00576667" w:rsidRDefault="00000000">
      <w:pPr>
        <w:pStyle w:val="Ttulo1"/>
        <w:spacing w:before="320" w:after="180"/>
      </w:pPr>
      <w:r>
        <w:rPr>
          <w:b/>
          <w:bCs/>
          <w:color w:val="1F3864"/>
          <w:sz w:val="30"/>
          <w:szCs w:val="30"/>
        </w:rPr>
        <w:lastRenderedPageBreak/>
        <w:t>6. Tabla resumen de la literatura</w:t>
      </w:r>
    </w:p>
    <w:p w14:paraId="2D2B5A21" w14:textId="77777777" w:rsidR="00576667" w:rsidRDefault="00000000">
      <w:pPr>
        <w:spacing w:after="100" w:line="276" w:lineRule="auto"/>
      </w:pPr>
      <w:r>
        <w:rPr>
          <w:b/>
          <w:bCs/>
        </w:rPr>
        <w:t xml:space="preserve">Tabla 1. </w:t>
      </w:r>
      <w:r>
        <w:rPr>
          <w:i/>
          <w:iCs/>
        </w:rPr>
        <w:t>Literatura sobre PIB potencial y NAIRU en Colombia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0"/>
        <w:gridCol w:w="1300"/>
        <w:gridCol w:w="1700"/>
        <w:gridCol w:w="2000"/>
        <w:gridCol w:w="2310"/>
      </w:tblGrid>
      <w:tr w:rsidR="00576667" w14:paraId="63485F76" w14:textId="77777777">
        <w:tblPrEx>
          <w:tblCellMar>
            <w:top w:w="0" w:type="dxa"/>
            <w:bottom w:w="0" w:type="dxa"/>
          </w:tblCellMar>
        </w:tblPrEx>
        <w:trPr>
          <w:tblHeader/>
        </w:trPr>
        <w:tc>
          <w:tcPr>
            <w:tcW w:w="2050" w:type="dxa"/>
            <w:shd w:val="clear" w:color="auto" w:fill="1F3864"/>
            <w:tcMar>
              <w:top w:w="60" w:type="dxa"/>
              <w:left w:w="100" w:type="dxa"/>
              <w:bottom w:w="60" w:type="dxa"/>
              <w:right w:w="100" w:type="dxa"/>
            </w:tcMar>
          </w:tcPr>
          <w:p w14:paraId="732D5C7B" w14:textId="77777777" w:rsidR="00576667" w:rsidRDefault="00000000">
            <w:r>
              <w:rPr>
                <w:b/>
                <w:bCs/>
                <w:color w:val="FFFFFF"/>
                <w:sz w:val="19"/>
                <w:szCs w:val="19"/>
              </w:rPr>
              <w:t>Referencia</w:t>
            </w:r>
          </w:p>
        </w:tc>
        <w:tc>
          <w:tcPr>
            <w:tcW w:w="1300" w:type="dxa"/>
            <w:shd w:val="clear" w:color="auto" w:fill="1F3864"/>
            <w:tcMar>
              <w:top w:w="60" w:type="dxa"/>
              <w:left w:w="100" w:type="dxa"/>
              <w:bottom w:w="60" w:type="dxa"/>
              <w:right w:w="100" w:type="dxa"/>
            </w:tcMar>
          </w:tcPr>
          <w:p w14:paraId="2E41D93D" w14:textId="77777777" w:rsidR="00576667" w:rsidRDefault="00000000">
            <w:r>
              <w:rPr>
                <w:b/>
                <w:bCs/>
                <w:color w:val="FFFFFF"/>
                <w:sz w:val="19"/>
                <w:szCs w:val="19"/>
              </w:rPr>
              <w:t>Entidad / fuente</w:t>
            </w:r>
          </w:p>
        </w:tc>
        <w:tc>
          <w:tcPr>
            <w:tcW w:w="1700" w:type="dxa"/>
            <w:shd w:val="clear" w:color="auto" w:fill="1F3864"/>
            <w:tcMar>
              <w:top w:w="60" w:type="dxa"/>
              <w:left w:w="100" w:type="dxa"/>
              <w:bottom w:w="60" w:type="dxa"/>
              <w:right w:w="100" w:type="dxa"/>
            </w:tcMar>
          </w:tcPr>
          <w:p>
            <w:pPr>
              <w:rPr>
                <w:b/>
                <w:bCs/>
                <w:color w:val="FFFFFF"/>
                <w:sz w:val="19"/>
                <w:szCs w:val="19"/>
              </w:rPr>
            </w:pPr>
            <w:r>
              <w:rPr>
                <w:b/>
                <w:bCs/>
                <w:color w:val="FFFFFF"/>
                <w:sz w:val="19"/>
                <w:szCs w:val="19"/>
              </w:rPr>
              <w:t xml:space="preserve">PIB potencial reportado (crec. anual)</w:t>
            </w:r>
          </w:p>
        </w:tc>
        <w:tc>
          <w:tcPr>
            <w:tcW w:w="2000" w:type="dxa"/>
            <w:shd w:val="clear" w:color="auto" w:fill="1F3864"/>
            <w:tcMar>
              <w:top w:w="60" w:type="dxa"/>
              <w:left w:w="100" w:type="dxa"/>
              <w:bottom w:w="60" w:type="dxa"/>
              <w:right w:w="100" w:type="dxa"/>
            </w:tcMar>
          </w:tcPr>
          <w:p w14:paraId="2F37CB0F" w14:textId="77777777" w:rsidR="00576667" w:rsidRDefault="00000000">
            <w:r>
              <w:rPr>
                <w:b/>
                <w:bCs/>
                <w:color w:val="FFFFFF"/>
                <w:sz w:val="19"/>
                <w:szCs w:val="19"/>
              </w:rPr>
              <w:t>Método / enfoque</w:t>
            </w:r>
          </w:p>
        </w:tc>
        <w:tc>
          <w:tcPr>
            <w:tcW w:w="2310" w:type="dxa"/>
            <w:shd w:val="clear" w:color="auto" w:fill="1F3864"/>
            <w:tcMar>
              <w:top w:w="60" w:type="dxa"/>
              <w:left w:w="100" w:type="dxa"/>
              <w:bottom w:w="60" w:type="dxa"/>
              <w:right w:w="100" w:type="dxa"/>
            </w:tcMar>
          </w:tcPr>
          <w:p w14:paraId="0A75C662" w14:textId="77777777" w:rsidR="00576667" w:rsidRDefault="00000000">
            <w:r>
              <w:rPr>
                <w:b/>
                <w:bCs/>
                <w:color w:val="FFFFFF"/>
                <w:sz w:val="19"/>
                <w:szCs w:val="19"/>
              </w:rPr>
              <w:t>Aporte principal</w:t>
            </w:r>
          </w:p>
        </w:tc>
      </w:tr>
      <w:tr w:rsidR="00576667" w14:paraId="5F23E28F" w14:textId="77777777">
        <w:tblPrEx>
          <w:tblCellMar>
            <w:top w:w="0" w:type="dxa"/>
            <w:bottom w:w="0" w:type="dxa"/>
          </w:tblCellMar>
        </w:tblPrEx>
        <w:tc>
          <w:tcPr>
            <w:tcW w:w="2050" w:type="dxa"/>
            <w:tcMar>
              <w:top w:w="50" w:type="dxa"/>
              <w:left w:w="100" w:type="dxa"/>
              <w:bottom w:w="50" w:type="dxa"/>
              <w:right w:w="100" w:type="dxa"/>
            </w:tcMar>
          </w:tcPr>
          <w:p w14:paraId="6A83251B" w14:textId="77777777" w:rsidR="00576667" w:rsidRDefault="00000000">
            <w:r>
              <w:rPr>
                <w:sz w:val="18"/>
                <w:szCs w:val="18"/>
              </w:rPr>
              <w:t>CARF (2022). PIB Tendencial en Colombia: Metodología y Resultados</w:t>
            </w:r>
          </w:p>
        </w:tc>
        <w:tc>
          <w:tcPr>
            <w:tcW w:w="1300" w:type="dxa"/>
            <w:tcMar>
              <w:top w:w="50" w:type="dxa"/>
              <w:left w:w="100" w:type="dxa"/>
              <w:bottom w:w="50" w:type="dxa"/>
              <w:right w:w="100" w:type="dxa"/>
            </w:tcMar>
          </w:tcPr>
          <w:p w14:paraId="44336496" w14:textId="77777777" w:rsidR="00576667" w:rsidRDefault="00000000">
            <w:r>
              <w:rPr>
                <w:sz w:val="18"/>
                <w:szCs w:val="18"/>
              </w:rPr>
              <w:t>CARF</w:t>
            </w:r>
          </w:p>
        </w:tc>
        <w:tc>
          <w:tcPr>
            <w:tcW w:w="1700" w:type="dxa"/>
            <w:tcMar>
              <w:top w:w="50" w:type="dxa"/>
              <w:left w:w="100" w:type="dxa"/>
              <w:bottom w:w="50" w:type="dxa"/>
              <w:right w:w="100" w:type="dxa"/>
            </w:tcMar>
          </w:tcPr>
          <w:p>
            <w:pPr>
              <w:rPr>
                <w:sz w:val="18"/>
                <w:szCs w:val="18"/>
              </w:rPr>
            </w:pPr>
            <w:r>
              <w:rPr>
                <w:sz w:val="18"/>
                <w:szCs w:val="18"/>
              </w:rPr>
              <w:t xml:space="preserve">≈3,2% promedio 2022–2033</w:t>
            </w:r>
          </w:p>
        </w:tc>
        <w:tc>
          <w:tcPr>
            <w:tcW w:w="2000" w:type="dxa"/>
            <w:tcMar>
              <w:top w:w="50" w:type="dxa"/>
              <w:left w:w="100" w:type="dxa"/>
              <w:bottom w:w="50" w:type="dxa"/>
              <w:right w:w="100" w:type="dxa"/>
            </w:tcMar>
          </w:tcPr>
          <w:p w14:paraId="02A697ED" w14:textId="77777777" w:rsidR="00576667" w:rsidRDefault="00000000">
            <w:r>
              <w:rPr>
                <w:sz w:val="18"/>
                <w:szCs w:val="18"/>
              </w:rPr>
              <w:t>Función de producción (K, L, PTF); insumos demográficos y de inversión</w:t>
            </w:r>
          </w:p>
        </w:tc>
        <w:tc>
          <w:tcPr>
            <w:tcW w:w="2310" w:type="dxa"/>
            <w:tcMar>
              <w:top w:w="50" w:type="dxa"/>
              <w:left w:w="100" w:type="dxa"/>
              <w:bottom w:w="50" w:type="dxa"/>
              <w:right w:w="100" w:type="dxa"/>
            </w:tcMar>
          </w:tcPr>
          <w:p w14:paraId="4C1F12DF" w14:textId="77777777" w:rsidR="00576667" w:rsidRDefault="00000000">
            <w:r>
              <w:rPr>
                <w:sz w:val="18"/>
                <w:szCs w:val="18"/>
              </w:rPr>
              <w:t>Metodología oficial del PIB tendencial que ancla el componente cíclico de la regla fiscal (Ley 2155/2021)</w:t>
            </w:r>
          </w:p>
        </w:tc>
      </w:tr>
      <w:tr w:rsidR="00576667" w14:paraId="71CDF964" w14:textId="77777777">
        <w:tblPrEx>
          <w:tblCellMar>
            <w:top w:w="0" w:type="dxa"/>
            <w:bottom w:w="0" w:type="dxa"/>
          </w:tblCellMar>
        </w:tblPrEx>
        <w:tc>
          <w:tcPr>
            <w:tcW w:w="2050" w:type="dxa"/>
            <w:shd w:val="clear" w:color="auto" w:fill="F2F5FA"/>
            <w:tcMar>
              <w:top w:w="50" w:type="dxa"/>
              <w:left w:w="100" w:type="dxa"/>
              <w:bottom w:w="50" w:type="dxa"/>
              <w:right w:w="100" w:type="dxa"/>
            </w:tcMar>
          </w:tcPr>
          <w:p w14:paraId="7EB767DB" w14:textId="77777777" w:rsidR="00576667" w:rsidRDefault="00000000">
            <w:r>
              <w:rPr>
                <w:sz w:val="18"/>
                <w:szCs w:val="18"/>
              </w:rPr>
              <w:t>CARF (2023). Actualización del PIB Tendencial 2023–2034</w:t>
            </w:r>
          </w:p>
        </w:tc>
        <w:tc>
          <w:tcPr>
            <w:tcW w:w="1300" w:type="dxa"/>
            <w:shd w:val="clear" w:color="auto" w:fill="F2F5FA"/>
            <w:tcMar>
              <w:top w:w="50" w:type="dxa"/>
              <w:left w:w="100" w:type="dxa"/>
              <w:bottom w:w="50" w:type="dxa"/>
              <w:right w:w="100" w:type="dxa"/>
            </w:tcMar>
          </w:tcPr>
          <w:p w14:paraId="5D182994" w14:textId="77777777" w:rsidR="00576667" w:rsidRDefault="00000000">
            <w:r>
              <w:rPr>
                <w:sz w:val="18"/>
                <w:szCs w:val="18"/>
              </w:rPr>
              <w:t>CARF</w:t>
            </w:r>
          </w:p>
        </w:tc>
        <w:tc>
          <w:tcPr>
            <w:tcW w:w="1700" w:type="dxa"/>
            <w:tcMar>
              <w:top w:w="50" w:type="dxa"/>
              <w:left w:w="100" w:type="dxa"/>
              <w:bottom w:w="50" w:type="dxa"/>
              <w:right w:w="100" w:type="dxa"/>
            </w:tcMar>
          </w:tcPr>
          <w:p>
            <w:pPr>
              <w:rPr>
                <w:sz w:val="18"/>
                <w:szCs w:val="18"/>
              </w:rPr>
            </w:pPr>
            <w:r>
              <w:rPr>
                <w:sz w:val="18"/>
                <w:szCs w:val="18"/>
              </w:rPr>
              <w:t xml:space="preserve">≈3,1% promedio 2023–2034; converge a 3,24% desde 2026</w:t>
            </w:r>
          </w:p>
        </w:tc>
        <w:tc>
          <w:tcPr>
            <w:tcW w:w="2000" w:type="dxa"/>
            <w:shd w:val="clear" w:color="auto" w:fill="F2F5FA"/>
            <w:tcMar>
              <w:top w:w="50" w:type="dxa"/>
              <w:left w:w="100" w:type="dxa"/>
              <w:bottom w:w="50" w:type="dxa"/>
              <w:right w:w="100" w:type="dxa"/>
            </w:tcMar>
          </w:tcPr>
          <w:p w14:paraId="02FFF7B3" w14:textId="77777777" w:rsidR="00576667" w:rsidRDefault="00000000">
            <w:r>
              <w:rPr>
                <w:sz w:val="18"/>
                <w:szCs w:val="18"/>
              </w:rPr>
              <w:t>Actualización de insumos del mismo marco</w:t>
            </w:r>
          </w:p>
        </w:tc>
        <w:tc>
          <w:tcPr>
            <w:tcW w:w="2310" w:type="dxa"/>
            <w:shd w:val="clear" w:color="auto" w:fill="F2F5FA"/>
            <w:tcMar>
              <w:top w:w="50" w:type="dxa"/>
              <w:left w:w="100" w:type="dxa"/>
              <w:bottom w:w="50" w:type="dxa"/>
              <w:right w:w="100" w:type="dxa"/>
            </w:tcMar>
          </w:tcPr>
          <w:p w14:paraId="30CE34D7" w14:textId="77777777" w:rsidR="00576667" w:rsidRDefault="00000000">
            <w:r>
              <w:rPr>
                <w:sz w:val="18"/>
                <w:szCs w:val="18"/>
              </w:rPr>
              <w:t xml:space="preserve">Primera revisión pos-pandemia de la senda tendencial</w:t>
            </w:r>
          </w:p>
        </w:tc>
      </w:tr>
      <w:tr w:rsidR="00576667" w14:paraId="0EB0FA3A" w14:textId="77777777">
        <w:tblPrEx>
          <w:tblCellMar>
            <w:top w:w="0" w:type="dxa"/>
            <w:bottom w:w="0" w:type="dxa"/>
          </w:tblCellMar>
        </w:tblPrEx>
        <w:tc>
          <w:tcPr>
            <w:tcW w:w="2050" w:type="dxa"/>
            <w:tcMar>
              <w:top w:w="50" w:type="dxa"/>
              <w:left w:w="100" w:type="dxa"/>
              <w:bottom w:w="50" w:type="dxa"/>
              <w:right w:w="100" w:type="dxa"/>
            </w:tcMar>
          </w:tcPr>
          <w:p w14:paraId="05E567A5" w14:textId="77777777" w:rsidR="00576667" w:rsidRDefault="00000000">
            <w:r>
              <w:rPr>
                <w:sz w:val="18"/>
                <w:szCs w:val="18"/>
              </w:rPr>
              <w:t>CARF (2026). Actualización del PIB tendencial 2026–2037 e Informe al Congreso (abril 2026)</w:t>
            </w:r>
          </w:p>
        </w:tc>
        <w:tc>
          <w:tcPr>
            <w:tcW w:w="1300" w:type="dxa"/>
            <w:tcMar>
              <w:top w:w="50" w:type="dxa"/>
              <w:left w:w="100" w:type="dxa"/>
              <w:bottom w:w="50" w:type="dxa"/>
              <w:right w:w="100" w:type="dxa"/>
            </w:tcMar>
          </w:tcPr>
          <w:p w14:paraId="4CC5D139" w14:textId="77777777" w:rsidR="00576667" w:rsidRDefault="00000000">
            <w:r>
              <w:rPr>
                <w:sz w:val="18"/>
                <w:szCs w:val="18"/>
              </w:rPr>
              <w:t>CARF</w:t>
            </w:r>
          </w:p>
        </w:tc>
        <w:tc>
          <w:tcPr>
            <w:tcW w:w="1700" w:type="dxa"/>
            <w:tcMar>
              <w:top w:w="50" w:type="dxa"/>
              <w:left w:w="100" w:type="dxa"/>
              <w:bottom w:w="50" w:type="dxa"/>
              <w:right w:w="100" w:type="dxa"/>
            </w:tcMar>
          </w:tcPr>
          <w:p>
            <w:pPr>
              <w:rPr>
                <w:sz w:val="18"/>
                <w:szCs w:val="18"/>
              </w:rPr>
            </w:pPr>
            <w:r>
              <w:rPr>
                <w:sz w:val="18"/>
                <w:szCs w:val="18"/>
              </w:rPr>
              <w:t xml:space="preserve">2,6% promedio 2026–2037 (2,7% en 2025–2029; 2,6% desde 2030)</w:t>
            </w:r>
          </w:p>
        </w:tc>
        <w:tc>
          <w:tcPr>
            <w:tcW w:w="2000" w:type="dxa"/>
            <w:tcMar>
              <w:top w:w="50" w:type="dxa"/>
              <w:left w:w="100" w:type="dxa"/>
              <w:bottom w:w="50" w:type="dxa"/>
              <w:right w:w="100" w:type="dxa"/>
            </w:tcMar>
          </w:tcPr>
          <w:p w14:paraId="5BF85EF5" w14:textId="77777777" w:rsidR="00576667" w:rsidRDefault="00000000">
            <w:r>
              <w:rPr>
                <w:sz w:val="18"/>
                <w:szCs w:val="18"/>
              </w:rPr>
              <w:t>Función de producción; descomposición por contribuciones</w:t>
            </w:r>
          </w:p>
        </w:tc>
        <w:tc>
          <w:tcPr>
            <w:tcW w:w="2310" w:type="dxa"/>
            <w:tcMar>
              <w:top w:w="50" w:type="dxa"/>
              <w:left w:w="100" w:type="dxa"/>
              <w:bottom w:w="50" w:type="dxa"/>
              <w:right w:w="100" w:type="dxa"/>
            </w:tcMar>
          </w:tcPr>
          <w:p w14:paraId="625FC261" w14:textId="77777777" w:rsidR="00576667" w:rsidRDefault="00000000">
            <w:r>
              <w:rPr>
                <w:sz w:val="18"/>
                <w:szCs w:val="18"/>
              </w:rPr>
              <w:t xml:space="preserve">Recorte de 2,8% a 2,6% promedio anual; trabajo aporta 0,5–0,7 pp hasta ~2030; PTF constante en niveles moderados</w:t>
            </w:r>
          </w:p>
        </w:tc>
      </w:tr>
      <w:tr w:rsidR="00576667" w14:paraId="346EFB20" w14:textId="77777777">
        <w:tblPrEx>
          <w:tblCellMar>
            <w:top w:w="0" w:type="dxa"/>
            <w:bottom w:w="0" w:type="dxa"/>
          </w:tblCellMar>
        </w:tblPrEx>
        <w:tc>
          <w:tcPr>
            <w:tcW w:w="2050" w:type="dxa"/>
            <w:shd w:val="clear" w:color="auto" w:fill="F2F5FA"/>
            <w:tcMar>
              <w:top w:w="50" w:type="dxa"/>
              <w:left w:w="100" w:type="dxa"/>
              <w:bottom w:w="50" w:type="dxa"/>
              <w:right w:w="100" w:type="dxa"/>
            </w:tcMar>
          </w:tcPr>
          <w:p w14:paraId="367C47A1" w14:textId="77777777" w:rsidR="00576667" w:rsidRDefault="00000000">
            <w:r>
              <w:rPr>
                <w:sz w:val="18"/>
                <w:szCs w:val="18"/>
              </w:rPr>
              <w:t xml:space="preserve">MinHacienda (2025). Marco Fiscal de Mediano Plazo 2025</w:t>
            </w:r>
          </w:p>
        </w:tc>
        <w:tc>
          <w:tcPr>
            <w:tcW w:w="1300" w:type="dxa"/>
            <w:shd w:val="clear" w:color="auto" w:fill="F2F5FA"/>
            <w:tcMar>
              <w:top w:w="50" w:type="dxa"/>
              <w:left w:w="100" w:type="dxa"/>
              <w:bottom w:w="50" w:type="dxa"/>
              <w:right w:w="100" w:type="dxa"/>
            </w:tcMar>
          </w:tcPr>
          <w:p w14:paraId="58D4CD0B" w14:textId="77777777" w:rsidR="00576667" w:rsidRDefault="00000000">
            <w:r>
              <w:rPr>
                <w:sz w:val="18"/>
                <w:szCs w:val="18"/>
              </w:rPr>
              <w:t>MinHacienda</w:t>
            </w:r>
          </w:p>
        </w:tc>
        <w:tc>
          <w:tcPr>
            <w:tcW w:w="1700" w:type="dxa"/>
            <w:tcMar>
              <w:top w:w="50" w:type="dxa"/>
              <w:left w:w="100" w:type="dxa"/>
              <w:bottom w:w="50" w:type="dxa"/>
              <w:right w:w="100" w:type="dxa"/>
            </w:tcMar>
          </w:tcPr>
          <w:p>
            <w:pPr>
              <w:rPr>
                <w:sz w:val="18"/>
                <w:szCs w:val="18"/>
              </w:rPr>
            </w:pPr>
            <w:r>
              <w:rPr>
                <w:sz w:val="18"/>
                <w:szCs w:val="18"/>
              </w:rPr>
              <w:t xml:space="preserve">2,7% (2025); 3,0% (2026); ≈2,9% promedio 2027–2036</w:t>
            </w:r>
          </w:p>
        </w:tc>
        <w:tc>
          <w:tcPr>
            <w:tcW w:w="2000" w:type="dxa"/>
            <w:shd w:val="clear" w:color="auto" w:fill="F2F5FA"/>
            <w:tcMar>
              <w:top w:w="50" w:type="dxa"/>
              <w:left w:w="100" w:type="dxa"/>
              <w:bottom w:w="50" w:type="dxa"/>
              <w:right w:w="100" w:type="dxa"/>
            </w:tcMar>
          </w:tcPr>
          <w:p w14:paraId="76CB0BDD" w14:textId="77777777" w:rsidR="00576667" w:rsidRDefault="00000000">
            <w:r>
              <w:rPr>
                <w:sz w:val="18"/>
                <w:szCs w:val="18"/>
              </w:rPr>
              <w:t>Supuestos macro oficiales a 10 años</w:t>
            </w:r>
          </w:p>
        </w:tc>
        <w:tc>
          <w:tcPr>
            <w:tcW w:w="2310" w:type="dxa"/>
            <w:shd w:val="clear" w:color="auto" w:fill="F2F5FA"/>
            <w:tcMar>
              <w:top w:w="50" w:type="dxa"/>
              <w:left w:w="100" w:type="dxa"/>
              <w:bottom w:w="50" w:type="dxa"/>
              <w:right w:w="100" w:type="dxa"/>
            </w:tcMar>
          </w:tcPr>
          <w:p w14:paraId="66931A90" w14:textId="77777777" w:rsidR="00576667" w:rsidRDefault="00000000">
            <w:r>
              <w:rPr>
                <w:sz w:val="18"/>
                <w:szCs w:val="18"/>
              </w:rPr>
              <w:t>Contrapunto oficial de la senda de PIB potencial/tendencial; evaluado por el CARF</w:t>
            </w:r>
          </w:p>
        </w:tc>
      </w:tr>
      <w:tr w:rsidR="00576667" w14:paraId="65EE336D" w14:textId="77777777">
        <w:tblPrEx>
          <w:tblCellMar>
            <w:top w:w="0" w:type="dxa"/>
            <w:bottom w:w="0" w:type="dxa"/>
          </w:tblCellMar>
        </w:tblPrEx>
        <w:tc>
          <w:tcPr>
            <w:tcW w:w="2050" w:type="dxa"/>
            <w:tcMar>
              <w:top w:w="50" w:type="dxa"/>
              <w:left w:w="100" w:type="dxa"/>
              <w:bottom w:w="50" w:type="dxa"/>
              <w:right w:w="100" w:type="dxa"/>
            </w:tcMar>
          </w:tcPr>
          <w:p w14:paraId="20A4DB49" w14:textId="77777777" w:rsidR="00576667" w:rsidRDefault="00000000">
            <w:r>
              <w:rPr>
                <w:sz w:val="18"/>
                <w:szCs w:val="18"/>
              </w:rPr>
              <w:t xml:space="preserve">Banrep (2020). IPM enero, Recuadro 1</w:t>
            </w:r>
          </w:p>
        </w:tc>
        <w:tc>
          <w:tcPr>
            <w:tcW w:w="1300" w:type="dxa"/>
            <w:tcMar>
              <w:top w:w="50" w:type="dxa"/>
              <w:left w:w="100" w:type="dxa"/>
              <w:bottom w:w="50" w:type="dxa"/>
              <w:right w:w="100" w:type="dxa"/>
            </w:tcMar>
          </w:tcPr>
          <w:p w14:paraId="6F7D3F22" w14:textId="77777777" w:rsidR="00576667" w:rsidRDefault="00000000">
            <w:r>
              <w:rPr>
                <w:sz w:val="18"/>
                <w:szCs w:val="18"/>
              </w:rPr>
              <w:t>Banrep</w:t>
            </w:r>
          </w:p>
        </w:tc>
        <w:tc>
          <w:tcPr>
            <w:tcW w:w="1700" w:type="dxa"/>
            <w:tcMar>
              <w:top w:w="50" w:type="dxa"/>
              <w:left w:w="100" w:type="dxa"/>
              <w:bottom w:w="50" w:type="dxa"/>
              <w:right w:w="100" w:type="dxa"/>
            </w:tcMar>
          </w:tcPr>
          <w:p>
            <w:pPr>
              <w:rPr>
                <w:sz w:val="18"/>
                <w:szCs w:val="18"/>
              </w:rPr>
            </w:pPr>
            <w:r>
              <w:rPr>
                <w:sz w:val="18"/>
                <w:szCs w:val="18"/>
              </w:rPr>
              <w:t xml:space="preserve">Tendencial 2019: 2,7% (antes 2,9%); brecha 2019: −0,7%</w:t>
            </w:r>
          </w:p>
        </w:tc>
        <w:tc>
          <w:tcPr>
            <w:tcW w:w="2000" w:type="dxa"/>
            <w:tcMar>
              <w:top w:w="50" w:type="dxa"/>
              <w:left w:w="100" w:type="dxa"/>
              <w:bottom w:w="50" w:type="dxa"/>
              <w:right w:w="100" w:type="dxa"/>
            </w:tcMar>
          </w:tcPr>
          <w:p w14:paraId="32EBDD5C" w14:textId="77777777" w:rsidR="00576667" w:rsidRDefault="00000000">
            <w:r>
              <w:rPr>
                <w:sz w:val="18"/>
                <w:szCs w:val="18"/>
              </w:rPr>
              <w:t>Batería de modelos; distinción potencial vs. tendencial</w:t>
            </w:r>
          </w:p>
        </w:tc>
        <w:tc>
          <w:tcPr>
            <w:tcW w:w="2310" w:type="dxa"/>
            <w:tcMar>
              <w:top w:w="50" w:type="dxa"/>
              <w:left w:w="100" w:type="dxa"/>
              <w:bottom w:w="50" w:type="dxa"/>
              <w:right w:w="100" w:type="dxa"/>
            </w:tcMar>
          </w:tcPr>
          <w:p w14:paraId="1D97DC61" w14:textId="77777777" w:rsidR="00576667" w:rsidRDefault="00000000">
            <w:r>
              <w:rPr>
                <w:sz w:val="18"/>
                <w:szCs w:val="18"/>
              </w:rPr>
              <w:t>Presenta las estimaciones vigentes de PIB potencial y brecha del equipo técnico</w:t>
            </w:r>
          </w:p>
        </w:tc>
      </w:tr>
      <w:tr w:rsidR="00576667" w14:paraId="353F6A0B" w14:textId="77777777">
        <w:tblPrEx>
          <w:tblCellMar>
            <w:top w:w="0" w:type="dxa"/>
            <w:bottom w:w="0" w:type="dxa"/>
          </w:tblCellMar>
        </w:tblPrEx>
        <w:tc>
          <w:tcPr>
            <w:tcW w:w="2050" w:type="dxa"/>
            <w:shd w:val="clear" w:color="auto" w:fill="F2F5FA"/>
            <w:tcMar>
              <w:top w:w="50" w:type="dxa"/>
              <w:left w:w="100" w:type="dxa"/>
              <w:bottom w:w="50" w:type="dxa"/>
              <w:right w:w="100" w:type="dxa"/>
            </w:tcMar>
          </w:tcPr>
          <w:p w14:paraId="7E37D3A8" w14:textId="77777777" w:rsidR="00576667" w:rsidRDefault="00000000">
            <w:r>
              <w:rPr>
                <w:sz w:val="18"/>
                <w:szCs w:val="18"/>
              </w:rPr>
              <w:t>González, Guarín, Rodríguez y Vargas (2020). 4GM. Borrador 1085</w:t>
            </w:r>
          </w:p>
        </w:tc>
        <w:tc>
          <w:tcPr>
            <w:tcW w:w="1300" w:type="dxa"/>
            <w:shd w:val="clear" w:color="auto" w:fill="F2F5FA"/>
            <w:tcMar>
              <w:top w:w="50" w:type="dxa"/>
              <w:left w:w="100" w:type="dxa"/>
              <w:bottom w:w="50" w:type="dxa"/>
              <w:right w:w="100" w:type="dxa"/>
            </w:tcMar>
          </w:tcPr>
          <w:p w14:paraId="3EBFC5EC" w14:textId="77777777" w:rsidR="00576667" w:rsidRDefault="00000000">
            <w:r>
              <w:rPr>
                <w:sz w:val="18"/>
                <w:szCs w:val="18"/>
              </w:rPr>
              <w:t>Banrep</w:t>
            </w:r>
          </w:p>
        </w:tc>
        <w:tc>
          <w:tcPr>
            <w:tcW w:w="1700" w:type="dxa"/>
            <w:tcMar>
              <w:top w:w="50" w:type="dxa"/>
              <w:left w:w="100" w:type="dxa"/>
              <w:bottom w:w="50" w:type="dxa"/>
              <w:right w:w="100" w:type="dxa"/>
            </w:tcMar>
          </w:tcPr>
          <w:p>
            <w:pPr>
              <w:rPr>
                <w:sz w:val="18"/>
                <w:szCs w:val="18"/>
              </w:rPr>
            </w:pPr>
            <w:r>
              <w:rPr>
                <w:sz w:val="18"/>
                <w:szCs w:val="18"/>
              </w:rPr>
              <w:t xml:space="preserve">—</w:t>
            </w:r>
          </w:p>
        </w:tc>
        <w:tc>
          <w:tcPr>
            <w:tcW w:w="2000" w:type="dxa"/>
            <w:shd w:val="clear" w:color="auto" w:fill="F2F5FA"/>
            <w:tcMar>
              <w:top w:w="50" w:type="dxa"/>
              <w:left w:w="100" w:type="dxa"/>
              <w:bottom w:w="50" w:type="dxa"/>
              <w:right w:w="100" w:type="dxa"/>
            </w:tcMar>
          </w:tcPr>
          <w:p w14:paraId="5E18CC2B" w14:textId="77777777" w:rsidR="00576667" w:rsidRDefault="00000000">
            <w:r>
              <w:rPr>
                <w:sz w:val="18"/>
                <w:szCs w:val="18"/>
              </w:rPr>
              <w:t xml:space="preserve">Modelo semiestructural neokeynesiano; estados no observados (Kalman)</w:t>
            </w:r>
          </w:p>
        </w:tc>
        <w:tc>
          <w:tcPr>
            <w:tcW w:w="2310" w:type="dxa"/>
            <w:shd w:val="clear" w:color="auto" w:fill="F2F5FA"/>
            <w:tcMar>
              <w:top w:w="50" w:type="dxa"/>
              <w:left w:w="100" w:type="dxa"/>
              <w:bottom w:w="50" w:type="dxa"/>
              <w:right w:w="100" w:type="dxa"/>
            </w:tcMar>
          </w:tcPr>
          <w:p w14:paraId="785D7ADD" w14:textId="77777777" w:rsidR="00576667" w:rsidRDefault="00000000">
            <w:r>
              <w:rPr>
                <w:sz w:val="18"/>
                <w:szCs w:val="18"/>
              </w:rPr>
              <w:t>Modelo central de pronóstico y política; producto potencial endógeno</w:t>
            </w:r>
          </w:p>
        </w:tc>
      </w:tr>
      <w:tr w:rsidR="00576667" w14:paraId="25EF4225" w14:textId="77777777">
        <w:tblPrEx>
          <w:tblCellMar>
            <w:top w:w="0" w:type="dxa"/>
            <w:bottom w:w="0" w:type="dxa"/>
          </w:tblCellMar>
        </w:tblPrEx>
        <w:tc>
          <w:tcPr>
            <w:tcW w:w="2050" w:type="dxa"/>
            <w:tcMar>
              <w:top w:w="50" w:type="dxa"/>
              <w:left w:w="100" w:type="dxa"/>
              <w:bottom w:w="50" w:type="dxa"/>
              <w:right w:w="100" w:type="dxa"/>
            </w:tcMar>
          </w:tcPr>
          <w:p w14:paraId="5CD40847" w14:textId="77777777" w:rsidR="00576667" w:rsidRDefault="00000000">
            <w:r>
              <w:rPr>
                <w:sz w:val="18"/>
                <w:szCs w:val="18"/>
              </w:rPr>
              <w:t>Granados y Parra-Amado (2023). Borrador 1249</w:t>
            </w:r>
          </w:p>
        </w:tc>
        <w:tc>
          <w:tcPr>
            <w:tcW w:w="1300" w:type="dxa"/>
            <w:tcMar>
              <w:top w:w="50" w:type="dxa"/>
              <w:left w:w="100" w:type="dxa"/>
              <w:bottom w:w="50" w:type="dxa"/>
              <w:right w:w="100" w:type="dxa"/>
            </w:tcMar>
          </w:tcPr>
          <w:p w14:paraId="4D4E754B" w14:textId="77777777" w:rsidR="00576667" w:rsidRDefault="00000000">
            <w:r>
              <w:rPr>
                <w:sz w:val="18"/>
                <w:szCs w:val="18"/>
              </w:rPr>
              <w:t>Banrep</w:t>
            </w:r>
          </w:p>
        </w:tc>
        <w:tc>
          <w:tcPr>
            <w:tcW w:w="1700" w:type="dxa"/>
            <w:tcMar>
              <w:top w:w="50" w:type="dxa"/>
              <w:left w:w="100" w:type="dxa"/>
              <w:bottom w:w="50" w:type="dxa"/>
              <w:right w:w="100" w:type="dxa"/>
            </w:tcMar>
          </w:tcPr>
          <w:p>
            <w:pPr>
              <w:rPr>
                <w:sz w:val="18"/>
                <w:szCs w:val="18"/>
              </w:rPr>
            </w:pPr>
            <w:r>
              <w:rPr>
                <w:sz w:val="18"/>
                <w:szCs w:val="18"/>
              </w:rPr>
              <w:t xml:space="preserve">—</w:t>
            </w:r>
          </w:p>
        </w:tc>
        <w:tc>
          <w:tcPr>
            <w:tcW w:w="2000" w:type="dxa"/>
            <w:tcMar>
              <w:top w:w="50" w:type="dxa"/>
              <w:left w:w="100" w:type="dxa"/>
              <w:bottom w:w="50" w:type="dxa"/>
              <w:right w:w="100" w:type="dxa"/>
            </w:tcMar>
          </w:tcPr>
          <w:p w14:paraId="55F68E7E" w14:textId="77777777" w:rsidR="00576667" w:rsidRDefault="00000000">
            <w:r>
              <w:rPr>
                <w:sz w:val="18"/>
                <w:szCs w:val="18"/>
              </w:rPr>
              <w:t>BSVAR con identificación permanente-transitoria (consumo-producto); varianzas escaladas en COVID</w:t>
            </w:r>
          </w:p>
        </w:tc>
        <w:tc>
          <w:tcPr>
            <w:tcW w:w="2310" w:type="dxa"/>
            <w:tcMar>
              <w:top w:w="50" w:type="dxa"/>
              <w:left w:w="100" w:type="dxa"/>
              <w:bottom w:w="50" w:type="dxa"/>
              <w:right w:w="100" w:type="dxa"/>
            </w:tcMar>
          </w:tcPr>
          <w:p w14:paraId="6EC56637" w14:textId="77777777" w:rsidR="00576667" w:rsidRDefault="00000000">
            <w:r>
              <w:rPr>
                <w:sz w:val="18"/>
                <w:szCs w:val="18"/>
              </w:rPr>
              <w:t>Brecha del producto robusta al episodio COVID sin cambios abruptos de especificación</w:t>
            </w:r>
          </w:p>
        </w:tc>
      </w:tr>
      <w:tr w:rsidR="00576667" w14:paraId="0FE3D26D" w14:textId="77777777">
        <w:tblPrEx>
          <w:tblCellMar>
            <w:top w:w="0" w:type="dxa"/>
            <w:bottom w:w="0" w:type="dxa"/>
          </w:tblCellMar>
        </w:tblPrEx>
        <w:tc>
          <w:tcPr>
            <w:tcW w:w="2050" w:type="dxa"/>
            <w:shd w:val="clear" w:color="auto" w:fill="F2F5FA"/>
            <w:tcMar>
              <w:top w:w="50" w:type="dxa"/>
              <w:left w:w="100" w:type="dxa"/>
              <w:bottom w:w="50" w:type="dxa"/>
              <w:right w:w="100" w:type="dxa"/>
            </w:tcMar>
          </w:tcPr>
          <w:p w14:paraId="66C94A26" w14:textId="77777777" w:rsidR="00576667" w:rsidRDefault="00000000">
            <w:r>
              <w:rPr>
                <w:sz w:val="18"/>
                <w:szCs w:val="18"/>
              </w:rPr>
              <w:t>Ramos-Veloza, Naranjo-Saldarriaga y Pulido (2026). Borrador 1341</w:t>
            </w:r>
          </w:p>
        </w:tc>
        <w:tc>
          <w:tcPr>
            <w:tcW w:w="1300" w:type="dxa"/>
            <w:shd w:val="clear" w:color="auto" w:fill="F2F5FA"/>
            <w:tcMar>
              <w:top w:w="50" w:type="dxa"/>
              <w:left w:w="100" w:type="dxa"/>
              <w:bottom w:w="50" w:type="dxa"/>
              <w:right w:w="100" w:type="dxa"/>
            </w:tcMar>
          </w:tcPr>
          <w:p w14:paraId="532E834C" w14:textId="77777777" w:rsidR="00576667" w:rsidRDefault="00000000">
            <w:r>
              <w:rPr>
                <w:sz w:val="18"/>
                <w:szCs w:val="18"/>
              </w:rPr>
              <w:t>Banrep</w:t>
            </w:r>
          </w:p>
        </w:tc>
        <w:tc>
          <w:tcPr>
            <w:tcW w:w="1700" w:type="dxa"/>
            <w:tcMar>
              <w:top w:w="50" w:type="dxa"/>
              <w:left w:w="100" w:type="dxa"/>
              <w:bottom w:w="50" w:type="dxa"/>
              <w:right w:w="100" w:type="dxa"/>
            </w:tcMar>
          </w:tcPr>
          <w:p>
            <w:pPr>
              <w:rPr>
                <w:sz w:val="18"/>
                <w:szCs w:val="18"/>
              </w:rPr>
            </w:pPr>
            <w:r>
              <w:rPr>
                <w:sz w:val="18"/>
                <w:szCs w:val="18"/>
              </w:rPr>
              <w:t xml:space="preserve">—</w:t>
            </w:r>
          </w:p>
        </w:tc>
        <w:tc>
          <w:tcPr>
            <w:tcW w:w="2000" w:type="dxa"/>
            <w:shd w:val="clear" w:color="auto" w:fill="F2F5FA"/>
            <w:tcMar>
              <w:top w:w="50" w:type="dxa"/>
              <w:left w:w="100" w:type="dxa"/>
              <w:bottom w:w="50" w:type="dxa"/>
              <w:right w:w="100" w:type="dxa"/>
            </w:tcMar>
          </w:tcPr>
          <w:p w14:paraId="3A6FDF3D" w14:textId="77777777" w:rsidR="00576667" w:rsidRDefault="00000000">
            <w:r>
              <w:rPr>
                <w:sz w:val="18"/>
                <w:szCs w:val="18"/>
              </w:rPr>
              <w:t xml:space="preserve">4GM ampliado: salarios→costos, NAIRU→potencial, Okun, demanda</w:t>
            </w:r>
          </w:p>
        </w:tc>
        <w:tc>
          <w:tcPr>
            <w:tcW w:w="2310" w:type="dxa"/>
            <w:shd w:val="clear" w:color="auto" w:fill="F2F5FA"/>
            <w:tcMar>
              <w:top w:w="50" w:type="dxa"/>
              <w:left w:w="100" w:type="dxa"/>
              <w:bottom w:w="50" w:type="dxa"/>
              <w:right w:w="100" w:type="dxa"/>
            </w:tcMar>
          </w:tcPr>
          <w:p w14:paraId="70D3FED3" w14:textId="77777777" w:rsidR="00576667" w:rsidRDefault="00000000">
            <w:r>
              <w:rPr>
                <w:sz w:val="18"/>
                <w:szCs w:val="18"/>
              </w:rPr>
              <w:t>La tensión laboral amplifica la inflación y retrasa el ajuste; mejor separación oferta/demanda</w:t>
            </w:r>
          </w:p>
        </w:tc>
      </w:tr>
      <w:tr w:rsidR="00576667" w14:paraId="0B9E3424" w14:textId="77777777">
        <w:tblPrEx>
          <w:tblCellMar>
            <w:top w:w="0" w:type="dxa"/>
            <w:bottom w:w="0" w:type="dxa"/>
          </w:tblCellMar>
        </w:tblPrEx>
        <w:tc>
          <w:tcPr>
            <w:tcW w:w="2050" w:type="dxa"/>
            <w:tcMar>
              <w:top w:w="50" w:type="dxa"/>
              <w:left w:w="100" w:type="dxa"/>
              <w:bottom w:w="50" w:type="dxa"/>
              <w:right w:w="100" w:type="dxa"/>
            </w:tcMar>
          </w:tcPr>
          <w:p w14:paraId="320C571F" w14:textId="77777777" w:rsidR="00576667" w:rsidRDefault="00000000">
            <w:r>
              <w:rPr>
                <w:sz w:val="18"/>
                <w:szCs w:val="18"/>
              </w:rPr>
              <w:t>GAMLA (2023). Reporte del Mercado Laboral, julio</w:t>
            </w:r>
          </w:p>
        </w:tc>
        <w:tc>
          <w:tcPr>
            <w:tcW w:w="1300" w:type="dxa"/>
            <w:tcMar>
              <w:top w:w="50" w:type="dxa"/>
              <w:left w:w="100" w:type="dxa"/>
              <w:bottom w:w="50" w:type="dxa"/>
              <w:right w:w="100" w:type="dxa"/>
            </w:tcMar>
          </w:tcPr>
          <w:p w14:paraId="1E770A98" w14:textId="77777777" w:rsidR="00576667" w:rsidRDefault="00000000">
            <w:r>
              <w:rPr>
                <w:sz w:val="18"/>
                <w:szCs w:val="18"/>
              </w:rPr>
              <w:t>Banrep</w:t>
            </w:r>
          </w:p>
        </w:tc>
        <w:tc>
          <w:tcPr>
            <w:tcW w:w="1700" w:type="dxa"/>
            <w:tcMar>
              <w:top w:w="50" w:type="dxa"/>
              <w:left w:w="100" w:type="dxa"/>
              <w:bottom w:w="50" w:type="dxa"/>
              <w:right w:w="100" w:type="dxa"/>
            </w:tcMar>
          </w:tcPr>
          <w:p>
            <w:pPr>
              <w:rPr>
                <w:sz w:val="18"/>
                <w:szCs w:val="18"/>
              </w:rPr>
            </w:pPr>
            <w:r>
              <w:rPr>
                <w:sz w:val="18"/>
                <w:szCs w:val="18"/>
              </w:rPr>
              <w:t xml:space="preserve">—</w:t>
            </w:r>
          </w:p>
        </w:tc>
        <w:tc>
          <w:tcPr>
            <w:tcW w:w="2000" w:type="dxa"/>
            <w:tcMar>
              <w:top w:w="50" w:type="dxa"/>
              <w:left w:w="100" w:type="dxa"/>
              <w:bottom w:w="50" w:type="dxa"/>
              <w:right w:w="100" w:type="dxa"/>
            </w:tcMar>
          </w:tcPr>
          <w:p w14:paraId="57DE23E3" w14:textId="77777777" w:rsidR="00576667" w:rsidRDefault="00000000">
            <w:r>
              <w:rPr>
                <w:sz w:val="18"/>
                <w:szCs w:val="18"/>
              </w:rPr>
              <w:t>Múltiples metodologías de TD no inflacionaria; combinación óptima por error de pronóstico</w:t>
            </w:r>
          </w:p>
        </w:tc>
        <w:tc>
          <w:tcPr>
            <w:tcW w:w="2310" w:type="dxa"/>
            <w:tcMar>
              <w:top w:w="50" w:type="dxa"/>
              <w:left w:w="100" w:type="dxa"/>
              <w:bottom w:w="50" w:type="dxa"/>
              <w:right w:w="100" w:type="dxa"/>
            </w:tcMar>
          </w:tcPr>
          <w:p w14:paraId="00139DED" w14:textId="77777777" w:rsidR="00576667" w:rsidRDefault="00000000">
            <w:r>
              <w:rPr>
                <w:sz w:val="18"/>
                <w:szCs w:val="18"/>
              </w:rPr>
              <w:t>Documenta la práctica actual del Banco para estimar la NAIRU colombiana</w:t>
            </w:r>
          </w:p>
        </w:tc>
      </w:tr>
      <w:tr w:rsidR="00576667" w14:paraId="7866CD1B" w14:textId="77777777">
        <w:tblPrEx>
          <w:tblCellMar>
            <w:top w:w="0" w:type="dxa"/>
            <w:bottom w:w="0" w:type="dxa"/>
          </w:tblCellMar>
        </w:tblPrEx>
        <w:tc>
          <w:tcPr>
            <w:tcW w:w="2050" w:type="dxa"/>
            <w:shd w:val="clear" w:color="auto" w:fill="F2F5FA"/>
            <w:tcMar>
              <w:top w:w="50" w:type="dxa"/>
              <w:left w:w="100" w:type="dxa"/>
              <w:bottom w:w="50" w:type="dxa"/>
              <w:right w:w="100" w:type="dxa"/>
            </w:tcMar>
          </w:tcPr>
          <w:p w14:paraId="4F42EE8B" w14:textId="77777777" w:rsidR="00576667" w:rsidRDefault="00000000">
            <w:r>
              <w:rPr>
                <w:sz w:val="18"/>
                <w:szCs w:val="18"/>
              </w:rPr>
              <w:t xml:space="preserve">Banrep (2026). IPM enero</w:t>
            </w:r>
          </w:p>
        </w:tc>
        <w:tc>
          <w:tcPr>
            <w:tcW w:w="1300" w:type="dxa"/>
            <w:shd w:val="clear" w:color="auto" w:fill="F2F5FA"/>
            <w:tcMar>
              <w:top w:w="50" w:type="dxa"/>
              <w:left w:w="100" w:type="dxa"/>
              <w:bottom w:w="50" w:type="dxa"/>
              <w:right w:w="100" w:type="dxa"/>
            </w:tcMar>
          </w:tcPr>
          <w:p w14:paraId="55C62B19" w14:textId="77777777" w:rsidR="00576667" w:rsidRDefault="00000000">
            <w:r>
              <w:rPr>
                <w:sz w:val="18"/>
                <w:szCs w:val="18"/>
              </w:rPr>
              <w:t>Banrep</w:t>
            </w:r>
          </w:p>
        </w:tc>
        <w:tc>
          <w:tcPr>
            <w:tcW w:w="1700" w:type="dxa"/>
            <w:tcMar>
              <w:top w:w="50" w:type="dxa"/>
              <w:left w:w="100" w:type="dxa"/>
              <w:bottom w:w="50" w:type="dxa"/>
              <w:right w:w="100" w:type="dxa"/>
            </w:tcMar>
          </w:tcPr>
          <w:p>
            <w:pPr>
              <w:rPr>
                <w:sz w:val="18"/>
                <w:szCs w:val="18"/>
              </w:rPr>
            </w:pPr>
            <w:r>
              <w:rPr>
                <w:sz w:val="18"/>
                <w:szCs w:val="18"/>
              </w:rPr>
              <w:t xml:space="preserve">Potencial: 2,8% (2025–2026), 2,7% (2027); brecha positiva hasta 2027-I</w:t>
            </w:r>
          </w:p>
        </w:tc>
        <w:tc>
          <w:tcPr>
            <w:tcW w:w="2000" w:type="dxa"/>
            <w:shd w:val="clear" w:color="auto" w:fill="F2F5FA"/>
            <w:tcMar>
              <w:top w:w="50" w:type="dxa"/>
              <w:left w:w="100" w:type="dxa"/>
              <w:bottom w:w="50" w:type="dxa"/>
              <w:right w:w="100" w:type="dxa"/>
            </w:tcMar>
          </w:tcPr>
          <w:p w14:paraId="2E70353A" w14:textId="77777777" w:rsidR="00576667" w:rsidRDefault="00000000">
            <w:r>
              <w:rPr>
                <w:sz w:val="18"/>
                <w:szCs w:val="18"/>
              </w:rPr>
              <w:t>Lectura de coyuntura del equipo técnico</w:t>
            </w:r>
          </w:p>
        </w:tc>
        <w:tc>
          <w:tcPr>
            <w:tcW w:w="2310" w:type="dxa"/>
            <w:shd w:val="clear" w:color="auto" w:fill="F2F5FA"/>
            <w:tcMar>
              <w:top w:w="50" w:type="dxa"/>
              <w:left w:w="100" w:type="dxa"/>
              <w:bottom w:w="50" w:type="dxa"/>
              <w:right w:w="100" w:type="dxa"/>
            </w:tcMar>
          </w:tcPr>
          <w:p w14:paraId="21B6AF10" w14:textId="77777777" w:rsidR="00576667" w:rsidRDefault="00000000">
            <w:r>
              <w:rPr>
                <w:sz w:val="18"/>
                <w:szCs w:val="18"/>
              </w:rPr>
              <w:t>Economía con exceso de gasto: brecha positiva que presiona inflación y cuenta corriente</w:t>
            </w:r>
          </w:p>
        </w:tc>
      </w:tr>
      <w:tr w:rsidR="00576667" w14:paraId="7E324688" w14:textId="77777777">
        <w:tblPrEx>
          <w:tblCellMar>
            <w:top w:w="0" w:type="dxa"/>
            <w:bottom w:w="0" w:type="dxa"/>
          </w:tblCellMar>
        </w:tblPrEx>
        <w:tc>
          <w:tcPr>
            <w:tcW w:w="2050" w:type="dxa"/>
            <w:tcMar>
              <w:top w:w="50" w:type="dxa"/>
              <w:left w:w="100" w:type="dxa"/>
              <w:bottom w:w="50" w:type="dxa"/>
              <w:right w:w="100" w:type="dxa"/>
            </w:tcMar>
          </w:tcPr>
          <w:p w14:paraId="1AD76BEA" w14:textId="77777777" w:rsidR="00576667" w:rsidRDefault="00000000">
            <w:r>
              <w:rPr>
                <w:sz w:val="18"/>
                <w:szCs w:val="18"/>
              </w:rPr>
              <w:t>Arango, García y Posada (2007). Borrador 453</w:t>
            </w:r>
          </w:p>
        </w:tc>
        <w:tc>
          <w:tcPr>
            <w:tcW w:w="1300" w:type="dxa"/>
            <w:tcMar>
              <w:top w:w="50" w:type="dxa"/>
              <w:left w:w="100" w:type="dxa"/>
              <w:bottom w:w="50" w:type="dxa"/>
              <w:right w:w="100" w:type="dxa"/>
            </w:tcMar>
          </w:tcPr>
          <w:p w14:paraId="5553A116" w14:textId="77777777" w:rsidR="00576667" w:rsidRDefault="00000000">
            <w:r>
              <w:rPr>
                <w:sz w:val="18"/>
                <w:szCs w:val="18"/>
              </w:rPr>
              <w:t>Banrep</w:t>
            </w:r>
          </w:p>
        </w:tc>
        <w:tc>
          <w:tcPr>
            <w:tcW w:w="1700" w:type="dxa"/>
            <w:tcMar>
              <w:top w:w="50" w:type="dxa"/>
              <w:left w:w="100" w:type="dxa"/>
              <w:bottom w:w="50" w:type="dxa"/>
              <w:right w:w="100" w:type="dxa"/>
            </w:tcMar>
          </w:tcPr>
          <w:p>
            <w:pPr>
              <w:rPr>
                <w:sz w:val="18"/>
                <w:szCs w:val="18"/>
              </w:rPr>
            </w:pPr>
            <w:r>
              <w:rPr>
                <w:sz w:val="18"/>
                <w:szCs w:val="18"/>
              </w:rPr>
              <w:t xml:space="preserve">—</w:t>
            </w:r>
          </w:p>
        </w:tc>
        <w:tc>
          <w:tcPr>
            <w:tcW w:w="2000" w:type="dxa"/>
            <w:tcMar>
              <w:top w:w="50" w:type="dxa"/>
              <w:left w:w="100" w:type="dxa"/>
              <w:bottom w:w="50" w:type="dxa"/>
              <w:right w:w="100" w:type="dxa"/>
            </w:tcMar>
          </w:tcPr>
          <w:p w14:paraId="0457A1DC" w14:textId="77777777" w:rsidR="00576667" w:rsidRDefault="00000000">
            <w:r>
              <w:rPr>
                <w:sz w:val="18"/>
                <w:szCs w:val="18"/>
              </w:rPr>
              <w:t>NAIRU cambiante en el tiempo; curva de Phillips ampliada</w:t>
            </w:r>
          </w:p>
        </w:tc>
        <w:tc>
          <w:tcPr>
            <w:tcW w:w="2310" w:type="dxa"/>
            <w:tcMar>
              <w:top w:w="50" w:type="dxa"/>
              <w:left w:w="100" w:type="dxa"/>
              <w:bottom w:w="50" w:type="dxa"/>
              <w:right w:w="100" w:type="dxa"/>
            </w:tcMar>
          </w:tcPr>
          <w:p w14:paraId="30E938BC" w14:textId="77777777" w:rsidR="00576667" w:rsidRDefault="00000000">
            <w:r>
              <w:rPr>
                <w:sz w:val="18"/>
                <w:szCs w:val="18"/>
              </w:rPr>
              <w:t>NAIRU promedio 11,9% (1984–2005); introduce la TADECIM</w:t>
            </w:r>
          </w:p>
        </w:tc>
      </w:tr>
      <w:tr w:rsidR="00576667" w14:paraId="7B60CC14" w14:textId="77777777">
        <w:tblPrEx>
          <w:tblCellMar>
            <w:top w:w="0" w:type="dxa"/>
            <w:bottom w:w="0" w:type="dxa"/>
          </w:tblCellMar>
        </w:tblPrEx>
        <w:tc>
          <w:tcPr>
            <w:tcW w:w="2050" w:type="dxa"/>
            <w:shd w:val="clear" w:color="auto" w:fill="F2F5FA"/>
            <w:tcMar>
              <w:top w:w="50" w:type="dxa"/>
              <w:left w:w="100" w:type="dxa"/>
              <w:bottom w:w="50" w:type="dxa"/>
              <w:right w:w="100" w:type="dxa"/>
            </w:tcMar>
          </w:tcPr>
          <w:p w14:paraId="69C8BF1F" w14:textId="77777777" w:rsidR="00576667" w:rsidRDefault="00000000">
            <w:r>
              <w:rPr>
                <w:sz w:val="18"/>
                <w:szCs w:val="18"/>
              </w:rPr>
              <w:t>Tamayo (2008). Borrador 491</w:t>
            </w:r>
          </w:p>
        </w:tc>
        <w:tc>
          <w:tcPr>
            <w:tcW w:w="1300" w:type="dxa"/>
            <w:shd w:val="clear" w:color="auto" w:fill="F2F5FA"/>
            <w:tcMar>
              <w:top w:w="50" w:type="dxa"/>
              <w:left w:w="100" w:type="dxa"/>
              <w:bottom w:w="50" w:type="dxa"/>
              <w:right w:w="100" w:type="dxa"/>
            </w:tcMar>
          </w:tcPr>
          <w:p w14:paraId="555901DF" w14:textId="77777777" w:rsidR="00576667" w:rsidRDefault="00000000">
            <w:r>
              <w:rPr>
                <w:sz w:val="18"/>
                <w:szCs w:val="18"/>
              </w:rPr>
              <w:t>Banrep</w:t>
            </w:r>
          </w:p>
        </w:tc>
        <w:tc>
          <w:tcPr>
            <w:tcW w:w="1700" w:type="dxa"/>
            <w:tcMar>
              <w:top w:w="50" w:type="dxa"/>
              <w:left w:w="100" w:type="dxa"/>
              <w:bottom w:w="50" w:type="dxa"/>
              <w:right w:w="100" w:type="dxa"/>
            </w:tcMar>
          </w:tcPr>
          <w:p>
            <w:pPr>
              <w:rPr>
                <w:sz w:val="18"/>
                <w:szCs w:val="18"/>
              </w:rPr>
            </w:pPr>
            <w:r>
              <w:rPr>
                <w:sz w:val="18"/>
                <w:szCs w:val="18"/>
              </w:rPr>
              <w:t xml:space="preserve">—</w:t>
            </w:r>
          </w:p>
        </w:tc>
        <w:tc>
          <w:tcPr>
            <w:tcW w:w="2000" w:type="dxa"/>
            <w:shd w:val="clear" w:color="auto" w:fill="F2F5FA"/>
            <w:tcMar>
              <w:top w:w="50" w:type="dxa"/>
              <w:left w:w="100" w:type="dxa"/>
              <w:bottom w:w="50" w:type="dxa"/>
              <w:right w:w="100" w:type="dxa"/>
            </w:tcMar>
          </w:tcPr>
          <w:p w14:paraId="52A99A48" w14:textId="77777777" w:rsidR="00576667" w:rsidRDefault="00000000">
            <w:r>
              <w:rPr>
                <w:sz w:val="18"/>
                <w:szCs w:val="18"/>
              </w:rPr>
              <w:t>Negociación salarial a la Blanchard + filtro de Kalman</w:t>
            </w:r>
          </w:p>
        </w:tc>
        <w:tc>
          <w:tcPr>
            <w:tcW w:w="2310" w:type="dxa"/>
            <w:shd w:val="clear" w:color="auto" w:fill="F2F5FA"/>
            <w:tcMar>
              <w:top w:w="50" w:type="dxa"/>
              <w:left w:w="100" w:type="dxa"/>
              <w:bottom w:w="50" w:type="dxa"/>
              <w:right w:w="100" w:type="dxa"/>
            </w:tcMar>
          </w:tcPr>
          <w:p w14:paraId="4F90A6EE" w14:textId="77777777" w:rsidR="00576667" w:rsidRDefault="00000000">
            <w:r>
              <w:rPr>
                <w:sz w:val="18"/>
                <w:szCs w:val="18"/>
              </w:rPr>
              <w:t>Determinantes: participación juvenil y costos laborales no salariales</w:t>
            </w:r>
          </w:p>
        </w:tc>
      </w:tr>
      <w:tr w:rsidR="00576667" w14:paraId="37E9D142" w14:textId="77777777">
        <w:tblPrEx>
          <w:tblCellMar>
            <w:top w:w="0" w:type="dxa"/>
            <w:bottom w:w="0" w:type="dxa"/>
          </w:tblCellMar>
        </w:tblPrEx>
        <w:tc>
          <w:tcPr>
            <w:tcW w:w="2050" w:type="dxa"/>
            <w:tcMar>
              <w:top w:w="50" w:type="dxa"/>
              <w:left w:w="100" w:type="dxa"/>
              <w:bottom w:w="50" w:type="dxa"/>
              <w:right w:w="100" w:type="dxa"/>
            </w:tcMar>
          </w:tcPr>
          <w:p w14:paraId="4B821061" w14:textId="77777777" w:rsidR="00576667" w:rsidRDefault="00000000">
            <w:r>
              <w:rPr>
                <w:sz w:val="18"/>
                <w:szCs w:val="18"/>
              </w:rPr>
              <w:t>Ramos y Álvarez (2020). Entramado 16(1)</w:t>
            </w:r>
          </w:p>
        </w:tc>
        <w:tc>
          <w:tcPr>
            <w:tcW w:w="1300" w:type="dxa"/>
            <w:tcMar>
              <w:top w:w="50" w:type="dxa"/>
              <w:left w:w="100" w:type="dxa"/>
              <w:bottom w:w="50" w:type="dxa"/>
              <w:right w:w="100" w:type="dxa"/>
            </w:tcMar>
          </w:tcPr>
          <w:p w14:paraId="57BB2F7B" w14:textId="77777777" w:rsidR="00576667" w:rsidRDefault="00000000">
            <w:r>
              <w:rPr>
                <w:sz w:val="18"/>
                <w:szCs w:val="18"/>
              </w:rPr>
              <w:t>Académica</w:t>
            </w:r>
          </w:p>
        </w:tc>
        <w:tc>
          <w:tcPr>
            <w:tcW w:w="1700" w:type="dxa"/>
            <w:tcMar>
              <w:top w:w="50" w:type="dxa"/>
              <w:left w:w="100" w:type="dxa"/>
              <w:bottom w:w="50" w:type="dxa"/>
              <w:right w:w="100" w:type="dxa"/>
            </w:tcMar>
          </w:tcPr>
          <w:p>
            <w:pPr>
              <w:rPr>
                <w:sz w:val="18"/>
                <w:szCs w:val="18"/>
              </w:rPr>
            </w:pPr>
            <w:r>
              <w:rPr>
                <w:sz w:val="18"/>
                <w:szCs w:val="18"/>
              </w:rPr>
              <w:t xml:space="preserve">—</w:t>
            </w:r>
          </w:p>
        </w:tc>
        <w:tc>
          <w:tcPr>
            <w:tcW w:w="2000" w:type="dxa"/>
            <w:tcMar>
              <w:top w:w="50" w:type="dxa"/>
              <w:left w:w="100" w:type="dxa"/>
              <w:bottom w:w="50" w:type="dxa"/>
              <w:right w:w="100" w:type="dxa"/>
            </w:tcMar>
          </w:tcPr>
          <w:p w14:paraId="43195E25" w14:textId="77777777" w:rsidR="00576667" w:rsidRDefault="00000000">
            <w:r>
              <w:rPr>
                <w:sz w:val="18"/>
                <w:szCs w:val="18"/>
              </w:rPr>
              <w:t>Phillips aumentada por expectativas; MCO y GMM (2001–2018)</w:t>
            </w:r>
          </w:p>
        </w:tc>
        <w:tc>
          <w:tcPr>
            <w:tcW w:w="2310" w:type="dxa"/>
            <w:tcMar>
              <w:top w:w="50" w:type="dxa"/>
              <w:left w:w="100" w:type="dxa"/>
              <w:bottom w:w="50" w:type="dxa"/>
              <w:right w:w="100" w:type="dxa"/>
            </w:tcMar>
          </w:tcPr>
          <w:p w14:paraId="3F3D90D3" w14:textId="77777777" w:rsidR="00576667" w:rsidRDefault="00000000">
            <w:r>
              <w:rPr>
                <w:sz w:val="18"/>
                <w:szCs w:val="18"/>
              </w:rPr>
              <w:t>Tasa natural ~6,2%; no encuentran relación de Phillips estable — advertencia de identificación</w:t>
            </w:r>
          </w:p>
        </w:tc>
      </w:tr>
      <w:tr w:rsidR="00576667" w14:paraId="2A67ADB5" w14:textId="77777777">
        <w:tblPrEx>
          <w:tblCellMar>
            <w:top w:w="0" w:type="dxa"/>
            <w:bottom w:w="0" w:type="dxa"/>
          </w:tblCellMar>
        </w:tblPrEx>
        <w:tc>
          <w:tcPr>
            <w:tcW w:w="2050" w:type="dxa"/>
            <w:shd w:val="clear" w:color="auto" w:fill="F2F5FA"/>
            <w:tcMar>
              <w:top w:w="50" w:type="dxa"/>
              <w:left w:w="100" w:type="dxa"/>
              <w:bottom w:w="50" w:type="dxa"/>
              <w:right w:w="100" w:type="dxa"/>
            </w:tcMar>
          </w:tcPr>
          <w:p w14:paraId="200DAC51" w14:textId="77777777" w:rsidR="00576667" w:rsidRDefault="00000000">
            <w:r>
              <w:rPr>
                <w:sz w:val="18"/>
                <w:szCs w:val="18"/>
              </w:rPr>
              <w:t>Lanau, Rodríguez-Delgado y Roldós (2017). IMF WP/17/238</w:t>
            </w:r>
          </w:p>
        </w:tc>
        <w:tc>
          <w:tcPr>
            <w:tcW w:w="1300" w:type="dxa"/>
            <w:shd w:val="clear" w:color="auto" w:fill="F2F5FA"/>
            <w:tcMar>
              <w:top w:w="50" w:type="dxa"/>
              <w:left w:w="100" w:type="dxa"/>
              <w:bottom w:w="50" w:type="dxa"/>
              <w:right w:w="100" w:type="dxa"/>
            </w:tcMar>
          </w:tcPr>
          <w:p w14:paraId="47986303" w14:textId="77777777" w:rsidR="00576667" w:rsidRDefault="00000000">
            <w:r>
              <w:rPr>
                <w:sz w:val="18"/>
                <w:szCs w:val="18"/>
              </w:rPr>
              <w:t>FMI</w:t>
            </w:r>
          </w:p>
        </w:tc>
        <w:tc>
          <w:tcPr>
            <w:tcW w:w="1700" w:type="dxa"/>
            <w:tcMar>
              <w:top w:w="50" w:type="dxa"/>
              <w:left w:w="100" w:type="dxa"/>
              <w:bottom w:w="50" w:type="dxa"/>
              <w:right w:w="100" w:type="dxa"/>
            </w:tcMar>
          </w:tcPr>
          <w:p>
            <w:pPr>
              <w:rPr>
                <w:sz w:val="18"/>
                <w:szCs w:val="18"/>
              </w:rPr>
            </w:pPr>
            <w:r>
              <w:rPr>
                <w:sz w:val="18"/>
                <w:szCs w:val="18"/>
              </w:rPr>
              <w:t xml:space="preserve">3,5% central (rango 2,8%–4,1%)</w:t>
            </w:r>
          </w:p>
        </w:tc>
        <w:tc>
          <w:tcPr>
            <w:tcW w:w="2000" w:type="dxa"/>
            <w:shd w:val="clear" w:color="auto" w:fill="F2F5FA"/>
            <w:tcMar>
              <w:top w:w="50" w:type="dxa"/>
              <w:left w:w="100" w:type="dxa"/>
              <w:bottom w:w="50" w:type="dxa"/>
              <w:right w:w="100" w:type="dxa"/>
            </w:tcMar>
          </w:tcPr>
          <w:p w14:paraId="3C1B3DC9" w14:textId="77777777" w:rsidR="00576667" w:rsidRDefault="00000000">
            <w:r>
              <w:rPr>
                <w:sz w:val="18"/>
                <w:szCs w:val="18"/>
              </w:rPr>
              <w:t>Filtro multivariado + función de producción</w:t>
            </w:r>
          </w:p>
        </w:tc>
        <w:tc>
          <w:tcPr>
            <w:tcW w:w="2310" w:type="dxa"/>
            <w:shd w:val="clear" w:color="auto" w:fill="F2F5FA"/>
            <w:tcMar>
              <w:top w:w="50" w:type="dxa"/>
              <w:left w:w="100" w:type="dxa"/>
              <w:bottom w:w="50" w:type="dxa"/>
              <w:right w:w="100" w:type="dxa"/>
            </w:tcMar>
          </w:tcPr>
          <w:p w14:paraId="7C1E1DBC" w14:textId="77777777" w:rsidR="00576667" w:rsidRDefault="00000000">
            <w:r>
              <w:rPr>
                <w:sz w:val="18"/>
                <w:szCs w:val="18"/>
              </w:rPr>
              <w:t>Potencial moderándose a 2,8%–4,1% (central 3,5%) tras el superciclo petrolero</w:t>
            </w:r>
          </w:p>
        </w:tc>
      </w:tr>
      <w:tr w:rsidR="00576667" w14:paraId="42BEA59B" w14:textId="77777777">
        <w:tblPrEx>
          <w:tblCellMar>
            <w:top w:w="0" w:type="dxa"/>
            <w:bottom w:w="0" w:type="dxa"/>
          </w:tblCellMar>
        </w:tblPrEx>
        <w:tc>
          <w:tcPr>
            <w:tcW w:w="2050" w:type="dxa"/>
            <w:tcMar>
              <w:top w:w="50" w:type="dxa"/>
              <w:left w:w="100" w:type="dxa"/>
              <w:bottom w:w="50" w:type="dxa"/>
              <w:right w:w="100" w:type="dxa"/>
            </w:tcMar>
          </w:tcPr>
          <w:p w14:paraId="667FCEB2" w14:textId="77777777" w:rsidR="00576667" w:rsidRDefault="00000000">
            <w:r>
              <w:rPr>
                <w:sz w:val="18"/>
                <w:szCs w:val="18"/>
              </w:rPr>
              <w:t>FMI (2025). Artículo IV, CR 25/280</w:t>
            </w:r>
          </w:p>
        </w:tc>
        <w:tc>
          <w:tcPr>
            <w:tcW w:w="1300" w:type="dxa"/>
            <w:tcMar>
              <w:top w:w="50" w:type="dxa"/>
              <w:left w:w="100" w:type="dxa"/>
              <w:bottom w:w="50" w:type="dxa"/>
              <w:right w:w="100" w:type="dxa"/>
            </w:tcMar>
          </w:tcPr>
          <w:p w14:paraId="5029699D" w14:textId="77777777" w:rsidR="00576667" w:rsidRDefault="00000000">
            <w:r>
              <w:rPr>
                <w:sz w:val="18"/>
                <w:szCs w:val="18"/>
              </w:rPr>
              <w:t>FMI</w:t>
            </w:r>
          </w:p>
        </w:tc>
        <w:tc>
          <w:tcPr>
            <w:tcW w:w="1700" w:type="dxa"/>
            <w:tcMar>
              <w:top w:w="50" w:type="dxa"/>
              <w:left w:w="100" w:type="dxa"/>
              <w:bottom w:w="50" w:type="dxa"/>
              <w:right w:w="100" w:type="dxa"/>
            </w:tcMar>
          </w:tcPr>
          <w:p>
            <w:pPr>
              <w:rPr>
                <w:sz w:val="18"/>
                <w:szCs w:val="18"/>
              </w:rPr>
            </w:pPr>
            <w:r>
              <w:rPr>
                <w:sz w:val="18"/>
                <w:szCs w:val="18"/>
              </w:rPr>
              <w:t xml:space="preserve">≈2,75% de mediano plazo; brecha casi cerrada en 2025</w:t>
            </w:r>
          </w:p>
        </w:tc>
        <w:tc>
          <w:tcPr>
            <w:tcW w:w="2000" w:type="dxa"/>
            <w:tcMar>
              <w:top w:w="50" w:type="dxa"/>
              <w:left w:w="100" w:type="dxa"/>
              <w:bottom w:w="50" w:type="dxa"/>
              <w:right w:w="100" w:type="dxa"/>
            </w:tcMar>
          </w:tcPr>
          <w:p w14:paraId="5FC59BE7" w14:textId="77777777" w:rsidR="00576667" w:rsidRDefault="00000000">
            <w:r>
              <w:rPr>
                <w:sz w:val="18"/>
                <w:szCs w:val="18"/>
              </w:rPr>
              <w:t>Evaluación de estabilidad y posición cíclica</w:t>
            </w:r>
          </w:p>
        </w:tc>
        <w:tc>
          <w:tcPr>
            <w:tcW w:w="2310" w:type="dxa"/>
            <w:tcMar>
              <w:top w:w="50" w:type="dxa"/>
              <w:left w:w="100" w:type="dxa"/>
              <w:bottom w:w="50" w:type="dxa"/>
              <w:right w:w="100" w:type="dxa"/>
            </w:tcMar>
          </w:tcPr>
          <w:p w14:paraId="3AFACE07" w14:textId="77777777" w:rsidR="00576667" w:rsidRDefault="00000000">
            <w:r>
              <w:rPr>
                <w:sz w:val="18"/>
                <w:szCs w:val="18"/>
              </w:rPr>
              <w:t>Lectura externa más reciente del potencial y la brecha de Colombia</w:t>
            </w:r>
          </w:p>
        </w:tc>
      </w:tr>
      <w:tr w:rsidR="00576667" w14:paraId="2D74E02D" w14:textId="77777777">
        <w:tblPrEx>
          <w:tblCellMar>
            <w:top w:w="0" w:type="dxa"/>
            <w:bottom w:w="0" w:type="dxa"/>
          </w:tblCellMar>
        </w:tblPrEx>
        <w:tc>
          <w:tcPr>
            <w:tcW w:w="2050" w:type="dxa"/>
            <w:shd w:val="clear" w:color="auto" w:fill="F2F5FA"/>
            <w:tcMar>
              <w:top w:w="50" w:type="dxa"/>
              <w:left w:w="100" w:type="dxa"/>
              <w:bottom w:w="50" w:type="dxa"/>
              <w:right w:w="100" w:type="dxa"/>
            </w:tcMar>
          </w:tcPr>
          <w:p w14:paraId="26E3F497" w14:textId="77777777" w:rsidR="00576667" w:rsidRDefault="00000000">
            <w:r>
              <w:rPr>
                <w:sz w:val="18"/>
                <w:szCs w:val="18"/>
              </w:rPr>
              <w:lastRenderedPageBreak/>
              <w:t>OCDE (2024). Estudios Económicos: Colombia</w:t>
            </w:r>
          </w:p>
        </w:tc>
        <w:tc>
          <w:tcPr>
            <w:tcW w:w="1300" w:type="dxa"/>
            <w:shd w:val="clear" w:color="auto" w:fill="F2F5FA"/>
            <w:tcMar>
              <w:top w:w="50" w:type="dxa"/>
              <w:left w:w="100" w:type="dxa"/>
              <w:bottom w:w="50" w:type="dxa"/>
              <w:right w:w="100" w:type="dxa"/>
            </w:tcMar>
          </w:tcPr>
          <w:p w14:paraId="122B1110" w14:textId="77777777" w:rsidR="00576667" w:rsidRDefault="00000000">
            <w:r>
              <w:rPr>
                <w:sz w:val="18"/>
                <w:szCs w:val="18"/>
              </w:rPr>
              <w:t>OCDE</w:t>
            </w:r>
          </w:p>
        </w:tc>
        <w:tc>
          <w:tcPr>
            <w:tcW w:w="1700" w:type="dxa"/>
            <w:tcMar>
              <w:top w:w="50" w:type="dxa"/>
              <w:left w:w="100" w:type="dxa"/>
              <w:bottom w:w="50" w:type="dxa"/>
              <w:right w:w="100" w:type="dxa"/>
            </w:tcMar>
          </w:tcPr>
          <w:p>
            <w:pPr>
              <w:rPr>
                <w:sz w:val="18"/>
                <w:szCs w:val="18"/>
              </w:rPr>
            </w:pPr>
            <w:r>
              <w:rPr>
                <w:sz w:val="18"/>
                <w:szCs w:val="18"/>
              </w:rPr>
              <w:t xml:space="preserve">Inferior a 3%</w:t>
            </w:r>
          </w:p>
        </w:tc>
        <w:tc>
          <w:tcPr>
            <w:tcW w:w="2000" w:type="dxa"/>
            <w:shd w:val="clear" w:color="auto" w:fill="F2F5FA"/>
            <w:tcMar>
              <w:top w:w="50" w:type="dxa"/>
              <w:left w:w="100" w:type="dxa"/>
              <w:bottom w:w="50" w:type="dxa"/>
              <w:right w:w="100" w:type="dxa"/>
            </w:tcMar>
          </w:tcPr>
          <w:p w14:paraId="193A3BE0" w14:textId="77777777" w:rsidR="00576667" w:rsidRDefault="00000000">
            <w:r>
              <w:rPr>
                <w:sz w:val="18"/>
                <w:szCs w:val="18"/>
              </w:rPr>
              <w:t>Diagnóstico estructural comparado</w:t>
            </w:r>
          </w:p>
        </w:tc>
        <w:tc>
          <w:tcPr>
            <w:tcW w:w="2310" w:type="dxa"/>
            <w:shd w:val="clear" w:color="auto" w:fill="F2F5FA"/>
            <w:tcMar>
              <w:top w:w="50" w:type="dxa"/>
              <w:left w:w="100" w:type="dxa"/>
              <w:bottom w:w="50" w:type="dxa"/>
              <w:right w:w="100" w:type="dxa"/>
            </w:tcMar>
          </w:tcPr>
          <w:p w14:paraId="6A17C887" w14:textId="77777777" w:rsidR="00576667" w:rsidRDefault="00000000">
            <w:r>
              <w:rPr>
                <w:sz w:val="18"/>
                <w:szCs w:val="18"/>
              </w:rPr>
              <w:t>Elevar el potencial exige inversión, productividad y formalización</w:t>
            </w:r>
          </w:p>
        </w:tc>
      </w:tr>
      <w:tr w:rsidR="00576667" w14:paraId="24E8C30A" w14:textId="77777777">
        <w:tblPrEx>
          <w:tblCellMar>
            <w:top w:w="0" w:type="dxa"/>
            <w:bottom w:w="0" w:type="dxa"/>
          </w:tblCellMar>
        </w:tblPrEx>
        <w:tc>
          <w:tcPr>
            <w:tcW w:w="2050" w:type="dxa"/>
            <w:tcMar>
              <w:top w:w="50" w:type="dxa"/>
              <w:left w:w="100" w:type="dxa"/>
              <w:bottom w:w="50" w:type="dxa"/>
              <w:right w:w="100" w:type="dxa"/>
            </w:tcMar>
          </w:tcPr>
          <w:p w14:paraId="77C8DEDC" w14:textId="77777777" w:rsidR="00576667" w:rsidRDefault="00000000">
            <w:r>
              <w:rPr>
                <w:sz w:val="18"/>
                <w:szCs w:val="18"/>
              </w:rPr>
              <w:t>Clavijo (2024). Coyuntura Económica 54</w:t>
            </w:r>
          </w:p>
        </w:tc>
        <w:tc>
          <w:tcPr>
            <w:tcW w:w="1300" w:type="dxa"/>
            <w:tcMar>
              <w:top w:w="50" w:type="dxa"/>
              <w:left w:w="100" w:type="dxa"/>
              <w:bottom w:w="50" w:type="dxa"/>
              <w:right w:w="100" w:type="dxa"/>
            </w:tcMar>
          </w:tcPr>
          <w:p w14:paraId="701A86D2" w14:textId="77777777" w:rsidR="00576667" w:rsidRDefault="00000000">
            <w:r>
              <w:rPr>
                <w:sz w:val="18"/>
                <w:szCs w:val="18"/>
              </w:rPr>
              <w:t>Fedesarrollo</w:t>
            </w:r>
          </w:p>
        </w:tc>
        <w:tc>
          <w:tcPr>
            <w:tcW w:w="1700" w:type="dxa"/>
            <w:tcMar>
              <w:top w:w="50" w:type="dxa"/>
              <w:left w:w="100" w:type="dxa"/>
              <w:bottom w:w="50" w:type="dxa"/>
              <w:right w:w="100" w:type="dxa"/>
            </w:tcMar>
          </w:tcPr>
          <w:p>
            <w:pPr>
              <w:rPr>
                <w:sz w:val="18"/>
                <w:szCs w:val="18"/>
              </w:rPr>
            </w:pPr>
            <w:r>
              <w:rPr>
                <w:sz w:val="18"/>
                <w:szCs w:val="18"/>
              </w:rPr>
              <w:t xml:space="preserve">—</w:t>
            </w:r>
          </w:p>
        </w:tc>
        <w:tc>
          <w:tcPr>
            <w:tcW w:w="2000" w:type="dxa"/>
            <w:tcMar>
              <w:top w:w="50" w:type="dxa"/>
              <w:left w:w="100" w:type="dxa"/>
              <w:bottom w:w="50" w:type="dxa"/>
              <w:right w:w="100" w:type="dxa"/>
            </w:tcMar>
          </w:tcPr>
          <w:p w14:paraId="44B30B84" w14:textId="77777777" w:rsidR="00576667" w:rsidRDefault="00000000">
            <w:r>
              <w:rPr>
                <w:sz w:val="18"/>
                <w:szCs w:val="18"/>
              </w:rPr>
              <w:t>Ensayo de política; comparativas regionales</w:t>
            </w:r>
          </w:p>
        </w:tc>
        <w:tc>
          <w:tcPr>
            <w:tcW w:w="2310" w:type="dxa"/>
            <w:tcMar>
              <w:top w:w="50" w:type="dxa"/>
              <w:left w:w="100" w:type="dxa"/>
              <w:bottom w:w="50" w:type="dxa"/>
              <w:right w:w="100" w:type="dxa"/>
            </w:tcMar>
          </w:tcPr>
          <w:p w14:paraId="23CDB014" w14:textId="77777777" w:rsidR="00576667" w:rsidRDefault="00000000">
            <w:r>
              <w:rPr>
                <w:sz w:val="18"/>
                <w:szCs w:val="18"/>
              </w:rPr>
              <w:t>Cuellos estructurales alejan a Colombia del ≥4% que requiere la convergencia</w:t>
            </w:r>
          </w:p>
        </w:tc>
      </w:tr>
    </w:tbl>
    <w:p>
      <w:pPr>
        <w:rPr>
          <w:i/>
          <w:iCs/>
          <w:sz w:val="18"/>
          <w:szCs w:val="18"/>
        </w:rPr>
      </w:pPr>
      <w:r>
        <w:rPr>
          <w:i/>
          <w:iCs/>
          <w:sz w:val="18"/>
          <w:szCs w:val="18"/>
        </w:rPr>
        <w:t xml:space="preserve">Nota: la columna «PIB potencial reportado» resume el valor central de crecimiento del PIB potencial (tendencial) de Colombia publicado por cada informe; «—» indica que la referencia no publica una senda propia de PIB potencial.</w:t>
      </w:r>
    </w:p>
    <w:p w14:paraId="108F0CF6" w14:textId="77777777" w:rsidR="00576667" w:rsidRDefault="00576667">
      <w:pPr>
        <w:spacing w:after="120" w:line="276" w:lineRule="auto"/>
        <w:jc w:val="both"/>
      </w:pPr>
    </w:p>
    <w:p w14:paraId="5AF0E0EE" w14:textId="77777777" w:rsidR="00576667" w:rsidRDefault="00000000">
      <w:pPr>
        <w:spacing w:after="100" w:line="276" w:lineRule="auto"/>
      </w:pPr>
      <w:r>
        <w:rPr>
          <w:b/>
          <w:bCs/>
        </w:rPr>
        <w:t xml:space="preserve">Tabla 2. </w:t>
      </w:r>
      <w:r>
        <w:rPr>
          <w:i/>
          <w:iCs/>
        </w:rPr>
        <w:t>Marco internacional: PIB potencial, u* y métodos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1300"/>
        <w:gridCol w:w="2650"/>
        <w:gridCol w:w="3060"/>
      </w:tblGrid>
      <w:tr w:rsidR="00576667" w14:paraId="57A24AD9" w14:textId="77777777">
        <w:tblPrEx>
          <w:tblCellMar>
            <w:top w:w="0" w:type="dxa"/>
            <w:bottom w:w="0" w:type="dxa"/>
          </w:tblCellMar>
        </w:tblPrEx>
        <w:trPr>
          <w:tblHeader/>
        </w:trPr>
        <w:tc>
          <w:tcPr>
            <w:tcW w:w="2350" w:type="dxa"/>
            <w:shd w:val="clear" w:color="auto" w:fill="1F3864"/>
            <w:tcMar>
              <w:top w:w="60" w:type="dxa"/>
              <w:left w:w="100" w:type="dxa"/>
              <w:bottom w:w="60" w:type="dxa"/>
              <w:right w:w="100" w:type="dxa"/>
            </w:tcMar>
          </w:tcPr>
          <w:p w14:paraId="65F1E0B4" w14:textId="77777777" w:rsidR="00576667" w:rsidRDefault="00000000">
            <w:r>
              <w:rPr>
                <w:b/>
                <w:bCs/>
                <w:color w:val="FFFFFF"/>
                <w:sz w:val="19"/>
                <w:szCs w:val="19"/>
              </w:rPr>
              <w:t>Referencia</w:t>
            </w:r>
          </w:p>
        </w:tc>
        <w:tc>
          <w:tcPr>
            <w:tcW w:w="1300" w:type="dxa"/>
            <w:shd w:val="clear" w:color="auto" w:fill="1F3864"/>
            <w:tcMar>
              <w:top w:w="60" w:type="dxa"/>
              <w:left w:w="100" w:type="dxa"/>
              <w:bottom w:w="60" w:type="dxa"/>
              <w:right w:w="100" w:type="dxa"/>
            </w:tcMar>
          </w:tcPr>
          <w:p w14:paraId="0B4635DB" w14:textId="77777777" w:rsidR="00576667" w:rsidRDefault="00000000">
            <w:r>
              <w:rPr>
                <w:b/>
                <w:bCs/>
                <w:color w:val="FFFFFF"/>
                <w:sz w:val="19"/>
                <w:szCs w:val="19"/>
              </w:rPr>
              <w:t>Entidad / fuente</w:t>
            </w:r>
          </w:p>
        </w:tc>
        <w:tc>
          <w:tcPr>
            <w:tcW w:w="2650" w:type="dxa"/>
            <w:shd w:val="clear" w:color="auto" w:fill="1F3864"/>
            <w:tcMar>
              <w:top w:w="60" w:type="dxa"/>
              <w:left w:w="100" w:type="dxa"/>
              <w:bottom w:w="60" w:type="dxa"/>
              <w:right w:w="100" w:type="dxa"/>
            </w:tcMar>
          </w:tcPr>
          <w:p w14:paraId="1F8CCB95" w14:textId="77777777" w:rsidR="00576667" w:rsidRDefault="00000000">
            <w:r>
              <w:rPr>
                <w:b/>
                <w:bCs/>
                <w:color w:val="FFFFFF"/>
                <w:sz w:val="19"/>
                <w:szCs w:val="19"/>
              </w:rPr>
              <w:t>Método / enfoque</w:t>
            </w:r>
          </w:p>
        </w:tc>
        <w:tc>
          <w:tcPr>
            <w:tcW w:w="3060" w:type="dxa"/>
            <w:shd w:val="clear" w:color="auto" w:fill="1F3864"/>
            <w:tcMar>
              <w:top w:w="60" w:type="dxa"/>
              <w:left w:w="100" w:type="dxa"/>
              <w:bottom w:w="60" w:type="dxa"/>
              <w:right w:w="100" w:type="dxa"/>
            </w:tcMar>
          </w:tcPr>
          <w:p w14:paraId="776ACF5E" w14:textId="77777777" w:rsidR="00576667" w:rsidRDefault="00000000">
            <w:r>
              <w:rPr>
                <w:b/>
                <w:bCs/>
                <w:color w:val="FFFFFF"/>
                <w:sz w:val="19"/>
                <w:szCs w:val="19"/>
              </w:rPr>
              <w:t>Aporte principal</w:t>
            </w:r>
          </w:p>
        </w:tc>
      </w:tr>
      <w:tr w:rsidR="00576667" w14:paraId="104206D3" w14:textId="77777777">
        <w:tblPrEx>
          <w:tblCellMar>
            <w:top w:w="0" w:type="dxa"/>
            <w:bottom w:w="0" w:type="dxa"/>
          </w:tblCellMar>
        </w:tblPrEx>
        <w:tc>
          <w:tcPr>
            <w:tcW w:w="2350" w:type="dxa"/>
            <w:tcMar>
              <w:top w:w="50" w:type="dxa"/>
              <w:left w:w="100" w:type="dxa"/>
              <w:bottom w:w="50" w:type="dxa"/>
              <w:right w:w="100" w:type="dxa"/>
            </w:tcMar>
          </w:tcPr>
          <w:p w14:paraId="081E50DC" w14:textId="77777777" w:rsidR="00576667" w:rsidRDefault="00000000">
            <w:r>
              <w:rPr>
                <w:sz w:val="18"/>
                <w:szCs w:val="18"/>
              </w:rPr>
              <w:t>Shackleton (2018). CBO WP 2018-03</w:t>
            </w:r>
          </w:p>
        </w:tc>
        <w:tc>
          <w:tcPr>
            <w:tcW w:w="1300" w:type="dxa"/>
            <w:tcMar>
              <w:top w:w="50" w:type="dxa"/>
              <w:left w:w="100" w:type="dxa"/>
              <w:bottom w:w="50" w:type="dxa"/>
              <w:right w:w="100" w:type="dxa"/>
            </w:tcMar>
          </w:tcPr>
          <w:p w14:paraId="0E10BC3A" w14:textId="77777777" w:rsidR="00576667" w:rsidRDefault="00000000">
            <w:r>
              <w:rPr>
                <w:sz w:val="18"/>
                <w:szCs w:val="18"/>
              </w:rPr>
              <w:t>CBO</w:t>
            </w:r>
          </w:p>
        </w:tc>
        <w:tc>
          <w:tcPr>
            <w:tcW w:w="2650" w:type="dxa"/>
            <w:tcMar>
              <w:top w:w="50" w:type="dxa"/>
              <w:left w:w="100" w:type="dxa"/>
              <w:bottom w:w="50" w:type="dxa"/>
              <w:right w:w="100" w:type="dxa"/>
            </w:tcMar>
          </w:tcPr>
          <w:p w14:paraId="3311A84E" w14:textId="77777777" w:rsidR="00576667" w:rsidRDefault="00000000">
            <w:r>
              <w:rPr>
                <w:sz w:val="18"/>
                <w:szCs w:val="18"/>
              </w:rPr>
              <w:t>Modelo de crecimiento tipo Solow por sectores; Cobb-Douglas</w:t>
            </w:r>
          </w:p>
        </w:tc>
        <w:tc>
          <w:tcPr>
            <w:tcW w:w="3060" w:type="dxa"/>
            <w:tcMar>
              <w:top w:w="50" w:type="dxa"/>
              <w:left w:w="100" w:type="dxa"/>
              <w:bottom w:w="50" w:type="dxa"/>
              <w:right w:w="100" w:type="dxa"/>
            </w:tcMar>
          </w:tcPr>
          <w:p w14:paraId="47728AC2" w14:textId="77777777" w:rsidR="00576667" w:rsidRDefault="00000000">
            <w:r>
              <w:rPr>
                <w:sz w:val="18"/>
                <w:szCs w:val="18"/>
              </w:rPr>
              <w:t>Metodología de las series GDPPOT/NROU que FRED republica</w:t>
            </w:r>
          </w:p>
        </w:tc>
      </w:tr>
      <w:tr w:rsidR="00576667" w14:paraId="71228F59" w14:textId="77777777">
        <w:tblPrEx>
          <w:tblCellMar>
            <w:top w:w="0" w:type="dxa"/>
            <w:bottom w:w="0" w:type="dxa"/>
          </w:tblCellMar>
        </w:tblPrEx>
        <w:tc>
          <w:tcPr>
            <w:tcW w:w="2350" w:type="dxa"/>
            <w:shd w:val="clear" w:color="auto" w:fill="F2F5FA"/>
            <w:tcMar>
              <w:top w:w="50" w:type="dxa"/>
              <w:left w:w="100" w:type="dxa"/>
              <w:bottom w:w="50" w:type="dxa"/>
              <w:right w:w="100" w:type="dxa"/>
            </w:tcMar>
          </w:tcPr>
          <w:p w14:paraId="500C9808" w14:textId="77777777" w:rsidR="00576667" w:rsidRDefault="00000000">
            <w:r>
              <w:rPr>
                <w:sz w:val="18"/>
                <w:szCs w:val="18"/>
              </w:rPr>
              <w:t xml:space="preserve">CBO (2026). Budget and Economic Outlook 2026–2036</w:t>
            </w:r>
          </w:p>
        </w:tc>
        <w:tc>
          <w:tcPr>
            <w:tcW w:w="1300" w:type="dxa"/>
            <w:shd w:val="clear" w:color="auto" w:fill="F2F5FA"/>
            <w:tcMar>
              <w:top w:w="50" w:type="dxa"/>
              <w:left w:w="100" w:type="dxa"/>
              <w:bottom w:w="50" w:type="dxa"/>
              <w:right w:w="100" w:type="dxa"/>
            </w:tcMar>
          </w:tcPr>
          <w:p w14:paraId="0E313A69" w14:textId="77777777" w:rsidR="00576667" w:rsidRDefault="00000000">
            <w:r>
              <w:rPr>
                <w:sz w:val="18"/>
                <w:szCs w:val="18"/>
              </w:rPr>
              <w:t>CBO</w:t>
            </w:r>
          </w:p>
        </w:tc>
        <w:tc>
          <w:tcPr>
            <w:tcW w:w="2650" w:type="dxa"/>
            <w:shd w:val="clear" w:color="auto" w:fill="F2F5FA"/>
            <w:tcMar>
              <w:top w:w="50" w:type="dxa"/>
              <w:left w:w="100" w:type="dxa"/>
              <w:bottom w:w="50" w:type="dxa"/>
              <w:right w:w="100" w:type="dxa"/>
            </w:tcMar>
          </w:tcPr>
          <w:p w14:paraId="119A76E9" w14:textId="77777777" w:rsidR="00576667" w:rsidRDefault="00000000">
            <w:r>
              <w:rPr>
                <w:sz w:val="18"/>
                <w:szCs w:val="18"/>
              </w:rPr>
              <w:t>Actualización anual de proyecciones</w:t>
            </w:r>
          </w:p>
        </w:tc>
        <w:tc>
          <w:tcPr>
            <w:tcW w:w="3060" w:type="dxa"/>
            <w:shd w:val="clear" w:color="auto" w:fill="F2F5FA"/>
            <w:tcMar>
              <w:top w:w="50" w:type="dxa"/>
              <w:left w:w="100" w:type="dxa"/>
              <w:bottom w:w="50" w:type="dxa"/>
              <w:right w:w="100" w:type="dxa"/>
            </w:tcMar>
          </w:tcPr>
          <w:p w14:paraId="6DD074ED" w14:textId="77777777" w:rsidR="00576667" w:rsidRDefault="00000000">
            <w:r>
              <w:rPr>
                <w:sz w:val="18"/>
                <w:szCs w:val="18"/>
              </w:rPr>
              <w:t>Senda vigente de PIB potencial y tasa no cíclica de EE. UU.</w:t>
            </w:r>
          </w:p>
        </w:tc>
      </w:tr>
      <w:tr w:rsidR="00576667" w14:paraId="55A798A6" w14:textId="77777777">
        <w:tblPrEx>
          <w:tblCellMar>
            <w:top w:w="0" w:type="dxa"/>
            <w:bottom w:w="0" w:type="dxa"/>
          </w:tblCellMar>
        </w:tblPrEx>
        <w:tc>
          <w:tcPr>
            <w:tcW w:w="2350" w:type="dxa"/>
            <w:tcMar>
              <w:top w:w="50" w:type="dxa"/>
              <w:left w:w="100" w:type="dxa"/>
              <w:bottom w:w="50" w:type="dxa"/>
              <w:right w:w="100" w:type="dxa"/>
            </w:tcMar>
          </w:tcPr>
          <w:p w14:paraId="55E22EB6" w14:textId="77777777" w:rsidR="00576667" w:rsidRDefault="00000000">
            <w:r>
              <w:rPr>
                <w:sz w:val="18"/>
                <w:szCs w:val="18"/>
              </w:rPr>
              <w:t>FRED: series GDPPOT y NROU</w:t>
            </w:r>
          </w:p>
        </w:tc>
        <w:tc>
          <w:tcPr>
            <w:tcW w:w="1300" w:type="dxa"/>
            <w:tcMar>
              <w:top w:w="50" w:type="dxa"/>
              <w:left w:w="100" w:type="dxa"/>
              <w:bottom w:w="50" w:type="dxa"/>
              <w:right w:w="100" w:type="dxa"/>
            </w:tcMar>
          </w:tcPr>
          <w:p w14:paraId="6126CCD0" w14:textId="77777777" w:rsidR="00576667" w:rsidRDefault="00000000">
            <w:r>
              <w:rPr>
                <w:sz w:val="18"/>
                <w:szCs w:val="18"/>
              </w:rPr>
              <w:t>St. Louis Fed</w:t>
            </w:r>
          </w:p>
        </w:tc>
        <w:tc>
          <w:tcPr>
            <w:tcW w:w="2650" w:type="dxa"/>
            <w:tcMar>
              <w:top w:w="50" w:type="dxa"/>
              <w:left w:w="100" w:type="dxa"/>
              <w:bottom w:w="50" w:type="dxa"/>
              <w:right w:w="100" w:type="dxa"/>
            </w:tcMar>
          </w:tcPr>
          <w:p w14:paraId="288C3975" w14:textId="77777777" w:rsidR="00576667" w:rsidRDefault="00000000">
            <w:r>
              <w:rPr>
                <w:sz w:val="18"/>
                <w:szCs w:val="18"/>
              </w:rPr>
              <w:t>Series trimestrales con proyección a 10 años</w:t>
            </w:r>
          </w:p>
        </w:tc>
        <w:tc>
          <w:tcPr>
            <w:tcW w:w="3060" w:type="dxa"/>
            <w:tcMar>
              <w:top w:w="50" w:type="dxa"/>
              <w:left w:w="100" w:type="dxa"/>
              <w:bottom w:w="50" w:type="dxa"/>
              <w:right w:w="100" w:type="dxa"/>
            </w:tcMar>
          </w:tcPr>
          <w:p w14:paraId="2684F494" w14:textId="77777777" w:rsidR="00576667" w:rsidRDefault="00000000">
            <w:r>
              <w:rPr>
                <w:sz w:val="18"/>
                <w:szCs w:val="18"/>
              </w:rPr>
              <w:t xml:space="preserve">Benchmark descargable vía API; NROU opera como la NAIRU de referencia de EE. UU.</w:t>
            </w:r>
          </w:p>
        </w:tc>
      </w:tr>
      <w:tr w:rsidR="00576667" w14:paraId="3CE8681E" w14:textId="77777777">
        <w:tblPrEx>
          <w:tblCellMar>
            <w:top w:w="0" w:type="dxa"/>
            <w:bottom w:w="0" w:type="dxa"/>
          </w:tblCellMar>
        </w:tblPrEx>
        <w:tc>
          <w:tcPr>
            <w:tcW w:w="2350" w:type="dxa"/>
            <w:shd w:val="clear" w:color="auto" w:fill="F2F5FA"/>
            <w:tcMar>
              <w:top w:w="50" w:type="dxa"/>
              <w:left w:w="100" w:type="dxa"/>
              <w:bottom w:w="50" w:type="dxa"/>
              <w:right w:w="100" w:type="dxa"/>
            </w:tcMar>
          </w:tcPr>
          <w:p w14:paraId="1997EBB4" w14:textId="77777777" w:rsidR="00576667" w:rsidRDefault="00000000">
            <w:r>
              <w:rPr>
                <w:sz w:val="18"/>
                <w:szCs w:val="18"/>
              </w:rPr>
              <w:t xml:space="preserve">Bok, Crump, Nekarda y Petrosky-Nadeau (2023). FRBSF WP 2023-25</w:t>
            </w:r>
          </w:p>
        </w:tc>
        <w:tc>
          <w:tcPr>
            <w:tcW w:w="1300" w:type="dxa"/>
            <w:shd w:val="clear" w:color="auto" w:fill="F2F5FA"/>
            <w:tcMar>
              <w:top w:w="50" w:type="dxa"/>
              <w:left w:w="100" w:type="dxa"/>
              <w:bottom w:w="50" w:type="dxa"/>
              <w:right w:w="100" w:type="dxa"/>
            </w:tcMar>
          </w:tcPr>
          <w:p w14:paraId="743A123B" w14:textId="77777777" w:rsidR="00576667" w:rsidRDefault="00000000">
            <w:r>
              <w:rPr>
                <w:sz w:val="18"/>
                <w:szCs w:val="18"/>
              </w:rPr>
              <w:t>Fed (SF/NY)</w:t>
            </w:r>
          </w:p>
        </w:tc>
        <w:tc>
          <w:tcPr>
            <w:tcW w:w="2650" w:type="dxa"/>
            <w:shd w:val="clear" w:color="auto" w:fill="F2F5FA"/>
            <w:tcMar>
              <w:top w:w="50" w:type="dxa"/>
              <w:left w:w="100" w:type="dxa"/>
              <w:bottom w:w="50" w:type="dxa"/>
              <w:right w:w="100" w:type="dxa"/>
            </w:tcMar>
          </w:tcPr>
          <w:p w14:paraId="72DA6A53" w14:textId="77777777" w:rsidR="00576667" w:rsidRDefault="00000000">
            <w:r>
              <w:rPr>
                <w:sz w:val="18"/>
                <w:szCs w:val="18"/>
              </w:rPr>
              <w:t>Primer: u*LR (demográfico) vs. u*SP (Phillips en espacio de estados, Kalman)</w:t>
            </w:r>
          </w:p>
        </w:tc>
        <w:tc>
          <w:tcPr>
            <w:tcW w:w="3060" w:type="dxa"/>
            <w:shd w:val="clear" w:color="auto" w:fill="F2F5FA"/>
            <w:tcMar>
              <w:top w:w="50" w:type="dxa"/>
              <w:left w:w="100" w:type="dxa"/>
              <w:bottom w:w="50" w:type="dxa"/>
              <w:right w:w="100" w:type="dxa"/>
            </w:tcMar>
          </w:tcPr>
          <w:p w14:paraId="402DECF6" w14:textId="77777777" w:rsidR="00576667" w:rsidRDefault="00000000">
            <w:r>
              <w:rPr>
                <w:sz w:val="18"/>
                <w:szCs w:val="18"/>
              </w:rPr>
              <w:t>u*SP ~6% en 2021-Q4 vs. u*LR ~4,5%: los dos conceptos divergen y deben reportarse por separado</w:t>
            </w:r>
          </w:p>
        </w:tc>
      </w:tr>
      <w:tr w:rsidR="00576667" w14:paraId="5D10F1EB" w14:textId="77777777">
        <w:tblPrEx>
          <w:tblCellMar>
            <w:top w:w="0" w:type="dxa"/>
            <w:bottom w:w="0" w:type="dxa"/>
          </w:tblCellMar>
        </w:tblPrEx>
        <w:tc>
          <w:tcPr>
            <w:tcW w:w="2350" w:type="dxa"/>
            <w:tcMar>
              <w:top w:w="50" w:type="dxa"/>
              <w:left w:w="100" w:type="dxa"/>
              <w:bottom w:w="50" w:type="dxa"/>
              <w:right w:w="100" w:type="dxa"/>
            </w:tcMar>
          </w:tcPr>
          <w:p w14:paraId="3AEF1D11" w14:textId="77777777" w:rsidR="00576667" w:rsidRDefault="00000000">
            <w:r>
              <w:rPr>
                <w:sz w:val="18"/>
                <w:szCs w:val="18"/>
              </w:rPr>
              <w:t xml:space="preserve">Crump, Eusepi, Giannoni y Şahin (2024). JME 145</w:t>
            </w:r>
          </w:p>
        </w:tc>
        <w:tc>
          <w:tcPr>
            <w:tcW w:w="1300" w:type="dxa"/>
            <w:tcMar>
              <w:top w:w="50" w:type="dxa"/>
              <w:left w:w="100" w:type="dxa"/>
              <w:bottom w:w="50" w:type="dxa"/>
              <w:right w:w="100" w:type="dxa"/>
            </w:tcMar>
          </w:tcPr>
          <w:p w14:paraId="023AEAAC" w14:textId="77777777" w:rsidR="00576667" w:rsidRDefault="00000000">
            <w:r>
              <w:rPr>
                <w:sz w:val="18"/>
                <w:szCs w:val="18"/>
              </w:rPr>
              <w:t>Fed NY / academia</w:t>
            </w:r>
          </w:p>
        </w:tc>
        <w:tc>
          <w:tcPr>
            <w:tcW w:w="2650" w:type="dxa"/>
            <w:tcMar>
              <w:top w:w="50" w:type="dxa"/>
              <w:left w:w="100" w:type="dxa"/>
              <w:bottom w:w="50" w:type="dxa"/>
              <w:right w:w="100" w:type="dxa"/>
            </w:tcMar>
          </w:tcPr>
          <w:p w14:paraId="294985A1" w14:textId="77777777" w:rsidR="00576667" w:rsidRDefault="00000000">
            <w:r>
              <w:rPr>
                <w:sz w:val="18"/>
                <w:szCs w:val="18"/>
              </w:rPr>
              <w:t>Phillips salarial + curva de Beveridge</w:t>
            </w:r>
          </w:p>
        </w:tc>
        <w:tc>
          <w:tcPr>
            <w:tcW w:w="3060" w:type="dxa"/>
            <w:tcMar>
              <w:top w:w="50" w:type="dxa"/>
              <w:left w:w="100" w:type="dxa"/>
              <w:bottom w:w="50" w:type="dxa"/>
              <w:right w:w="100" w:type="dxa"/>
            </w:tcMar>
          </w:tcPr>
          <w:p w14:paraId="04982D5D" w14:textId="77777777" w:rsidR="00576667" w:rsidRDefault="00000000">
            <w:r>
              <w:rPr>
                <w:sz w:val="18"/>
                <w:szCs w:val="18"/>
              </w:rPr>
              <w:t>La tensión vacantes/desempleo elevó u* en 2021–2022; explica inflación con desempleo bajo</w:t>
            </w:r>
          </w:p>
        </w:tc>
      </w:tr>
      <w:tr w:rsidR="00576667" w14:paraId="5F070BD5" w14:textId="77777777">
        <w:tblPrEx>
          <w:tblCellMar>
            <w:top w:w="0" w:type="dxa"/>
            <w:bottom w:w="0" w:type="dxa"/>
          </w:tblCellMar>
        </w:tblPrEx>
        <w:tc>
          <w:tcPr>
            <w:tcW w:w="2350" w:type="dxa"/>
            <w:shd w:val="clear" w:color="auto" w:fill="F2F5FA"/>
            <w:tcMar>
              <w:top w:w="50" w:type="dxa"/>
              <w:left w:w="100" w:type="dxa"/>
              <w:bottom w:w="50" w:type="dxa"/>
              <w:right w:w="100" w:type="dxa"/>
            </w:tcMar>
          </w:tcPr>
          <w:p w14:paraId="6E1DB9DB" w14:textId="77777777" w:rsidR="00576667" w:rsidRDefault="00000000">
            <w:r>
              <w:rPr>
                <w:sz w:val="18"/>
                <w:szCs w:val="18"/>
              </w:rPr>
              <w:t>Benigno y Eggertsson (2023). NBER WP 31197</w:t>
            </w:r>
          </w:p>
        </w:tc>
        <w:tc>
          <w:tcPr>
            <w:tcW w:w="1300" w:type="dxa"/>
            <w:shd w:val="clear" w:color="auto" w:fill="F2F5FA"/>
            <w:tcMar>
              <w:top w:w="50" w:type="dxa"/>
              <w:left w:w="100" w:type="dxa"/>
              <w:bottom w:w="50" w:type="dxa"/>
              <w:right w:w="100" w:type="dxa"/>
            </w:tcMar>
          </w:tcPr>
          <w:p w14:paraId="056FFF92" w14:textId="77777777" w:rsidR="00576667" w:rsidRDefault="00000000">
            <w:r>
              <w:rPr>
                <w:sz w:val="18"/>
                <w:szCs w:val="18"/>
              </w:rPr>
              <w:t>Academia</w:t>
            </w:r>
          </w:p>
        </w:tc>
        <w:tc>
          <w:tcPr>
            <w:tcW w:w="2650" w:type="dxa"/>
            <w:shd w:val="clear" w:color="auto" w:fill="F2F5FA"/>
            <w:tcMar>
              <w:top w:w="50" w:type="dxa"/>
              <w:left w:w="100" w:type="dxa"/>
              <w:bottom w:w="50" w:type="dxa"/>
              <w:right w:w="100" w:type="dxa"/>
            </w:tcMar>
          </w:tcPr>
          <w:p w14:paraId="34AC4501" w14:textId="77777777" w:rsidR="00576667" w:rsidRDefault="00000000">
            <w:r>
              <w:rPr>
                <w:sz w:val="18"/>
                <w:szCs w:val="18"/>
              </w:rPr>
              <w:t>Curva de Phillips no lineal en v/u</w:t>
            </w:r>
          </w:p>
        </w:tc>
        <w:tc>
          <w:tcPr>
            <w:tcW w:w="3060" w:type="dxa"/>
            <w:shd w:val="clear" w:color="auto" w:fill="F2F5FA"/>
            <w:tcMar>
              <w:top w:w="50" w:type="dxa"/>
              <w:left w:w="100" w:type="dxa"/>
              <w:bottom w:w="50" w:type="dxa"/>
              <w:right w:w="100" w:type="dxa"/>
            </w:tcMar>
          </w:tcPr>
          <w:p w14:paraId="4FDFFD58" w14:textId="77777777" w:rsidR="00576667" w:rsidRDefault="00000000">
            <w:r>
              <w:rPr>
                <w:sz w:val="18"/>
                <w:szCs w:val="18"/>
              </w:rPr>
              <w:t>Curva plana con holgura y empinada con tensión: la NAIRU es específica al régimen</w:t>
            </w:r>
          </w:p>
        </w:tc>
      </w:tr>
      <w:tr w:rsidR="00576667" w14:paraId="7E380D64" w14:textId="77777777">
        <w:tblPrEx>
          <w:tblCellMar>
            <w:top w:w="0" w:type="dxa"/>
            <w:bottom w:w="0" w:type="dxa"/>
          </w:tblCellMar>
        </w:tblPrEx>
        <w:tc>
          <w:tcPr>
            <w:tcW w:w="2350" w:type="dxa"/>
            <w:tcMar>
              <w:top w:w="50" w:type="dxa"/>
              <w:left w:w="100" w:type="dxa"/>
              <w:bottom w:w="50" w:type="dxa"/>
              <w:right w:w="100" w:type="dxa"/>
            </w:tcMar>
          </w:tcPr>
          <w:p w14:paraId="2C5DD5AE" w14:textId="77777777" w:rsidR="00576667" w:rsidRDefault="00000000">
            <w:r>
              <w:rPr>
                <w:sz w:val="18"/>
                <w:szCs w:val="18"/>
              </w:rPr>
              <w:t>Gudmundsson, Jackson y Portillo (2024). IMF WP 24/007</w:t>
            </w:r>
          </w:p>
        </w:tc>
        <w:tc>
          <w:tcPr>
            <w:tcW w:w="1300" w:type="dxa"/>
            <w:tcMar>
              <w:top w:w="50" w:type="dxa"/>
              <w:left w:w="100" w:type="dxa"/>
              <w:bottom w:w="50" w:type="dxa"/>
              <w:right w:w="100" w:type="dxa"/>
            </w:tcMar>
          </w:tcPr>
          <w:p w14:paraId="26DB2BE2" w14:textId="77777777" w:rsidR="00576667" w:rsidRDefault="00000000">
            <w:r>
              <w:rPr>
                <w:sz w:val="18"/>
                <w:szCs w:val="18"/>
              </w:rPr>
              <w:t>FMI</w:t>
            </w:r>
          </w:p>
        </w:tc>
        <w:tc>
          <w:tcPr>
            <w:tcW w:w="2650" w:type="dxa"/>
            <w:tcMar>
              <w:top w:w="50" w:type="dxa"/>
              <w:left w:w="100" w:type="dxa"/>
              <w:bottom w:w="50" w:type="dxa"/>
              <w:right w:w="100" w:type="dxa"/>
            </w:tcMar>
          </w:tcPr>
          <w:p w14:paraId="412F555E" w14:textId="77777777" w:rsidR="00576667" w:rsidRDefault="00000000">
            <w:r>
              <w:rPr>
                <w:sz w:val="18"/>
                <w:szCs w:val="18"/>
              </w:rPr>
              <w:t>Panel internacional; evidencia y teoría</w:t>
            </w:r>
          </w:p>
        </w:tc>
        <w:tc>
          <w:tcPr>
            <w:tcW w:w="3060" w:type="dxa"/>
            <w:tcMar>
              <w:top w:w="50" w:type="dxa"/>
              <w:left w:w="100" w:type="dxa"/>
              <w:bottom w:w="50" w:type="dxa"/>
              <w:right w:w="100" w:type="dxa"/>
            </w:tcMar>
          </w:tcPr>
          <w:p w14:paraId="4FEACFF0" w14:textId="77777777" w:rsidR="00576667" w:rsidRDefault="00000000">
            <w:r>
              <w:rPr>
                <w:sz w:val="18"/>
                <w:szCs w:val="18"/>
              </w:rPr>
              <w:t xml:space="preserve">El empinamiento pos-pandemia de la Phillips fue generalizado entre países</w:t>
            </w:r>
          </w:p>
        </w:tc>
      </w:tr>
      <w:tr w:rsidR="00576667" w14:paraId="3B29CEFE" w14:textId="77777777">
        <w:tblPrEx>
          <w:tblCellMar>
            <w:top w:w="0" w:type="dxa"/>
            <w:bottom w:w="0" w:type="dxa"/>
          </w:tblCellMar>
        </w:tblPrEx>
        <w:tc>
          <w:tcPr>
            <w:tcW w:w="2350" w:type="dxa"/>
            <w:shd w:val="clear" w:color="auto" w:fill="F2F5FA"/>
            <w:tcMar>
              <w:top w:w="50" w:type="dxa"/>
              <w:left w:w="100" w:type="dxa"/>
              <w:bottom w:w="50" w:type="dxa"/>
              <w:right w:w="100" w:type="dxa"/>
            </w:tcMar>
          </w:tcPr>
          <w:p w14:paraId="4766A20D" w14:textId="77777777" w:rsidR="00576667" w:rsidRDefault="00000000">
            <w:r>
              <w:rPr>
                <w:sz w:val="18"/>
                <w:szCs w:val="18"/>
              </w:rPr>
              <w:t xml:space="preserve">Ball, Leigh y Mishra (2022; act. 2025). Brookings / IMF WP 25/094</w:t>
            </w:r>
          </w:p>
        </w:tc>
        <w:tc>
          <w:tcPr>
            <w:tcW w:w="1300" w:type="dxa"/>
            <w:shd w:val="clear" w:color="auto" w:fill="F2F5FA"/>
            <w:tcMar>
              <w:top w:w="50" w:type="dxa"/>
              <w:left w:w="100" w:type="dxa"/>
              <w:bottom w:w="50" w:type="dxa"/>
              <w:right w:w="100" w:type="dxa"/>
            </w:tcMar>
          </w:tcPr>
          <w:p w14:paraId="476395C7" w14:textId="77777777" w:rsidR="00576667" w:rsidRDefault="00000000">
            <w:r>
              <w:rPr>
                <w:sz w:val="18"/>
                <w:szCs w:val="18"/>
              </w:rPr>
              <w:t>FMI / academia</w:t>
            </w:r>
          </w:p>
        </w:tc>
        <w:tc>
          <w:tcPr>
            <w:tcW w:w="2650" w:type="dxa"/>
            <w:shd w:val="clear" w:color="auto" w:fill="F2F5FA"/>
            <w:tcMar>
              <w:top w:w="50" w:type="dxa"/>
              <w:left w:w="100" w:type="dxa"/>
              <w:bottom w:w="50" w:type="dxa"/>
              <w:right w:w="100" w:type="dxa"/>
            </w:tcMar>
          </w:tcPr>
          <w:p w14:paraId="5275D0F4" w14:textId="77777777" w:rsidR="00576667" w:rsidRDefault="00000000">
            <w:r>
              <w:rPr>
                <w:sz w:val="18"/>
                <w:szCs w:val="18"/>
              </w:rPr>
              <w:t>Descomposición de inflación núcleo: choques sectoriales vs. tensión laboral</w:t>
            </w:r>
          </w:p>
        </w:tc>
        <w:tc>
          <w:tcPr>
            <w:tcW w:w="3060" w:type="dxa"/>
            <w:shd w:val="clear" w:color="auto" w:fill="F2F5FA"/>
            <w:tcMar>
              <w:top w:w="50" w:type="dxa"/>
              <w:left w:w="100" w:type="dxa"/>
              <w:bottom w:w="50" w:type="dxa"/>
              <w:right w:w="100" w:type="dxa"/>
            </w:tcMar>
          </w:tcPr>
          <w:p w14:paraId="0CDDFC6E" w14:textId="77777777" w:rsidR="00576667" w:rsidRDefault="00000000">
            <w:r>
              <w:rPr>
                <w:sz w:val="18"/>
                <w:szCs w:val="18"/>
              </w:rPr>
              <w:t>La persistencia inflacionaria provino de la tensión laboral: la brecha de desempleo recupera protagonismo</w:t>
            </w:r>
          </w:p>
        </w:tc>
      </w:tr>
      <w:tr w:rsidR="00576667" w14:paraId="6F06F245" w14:textId="77777777">
        <w:tblPrEx>
          <w:tblCellMar>
            <w:top w:w="0" w:type="dxa"/>
            <w:bottom w:w="0" w:type="dxa"/>
          </w:tblCellMar>
        </w:tblPrEx>
        <w:tc>
          <w:tcPr>
            <w:tcW w:w="2350" w:type="dxa"/>
            <w:tcMar>
              <w:top w:w="50" w:type="dxa"/>
              <w:left w:w="100" w:type="dxa"/>
              <w:bottom w:w="50" w:type="dxa"/>
              <w:right w:w="100" w:type="dxa"/>
            </w:tcMar>
          </w:tcPr>
          <w:p w14:paraId="4DF6C79B" w14:textId="77777777" w:rsidR="00576667" w:rsidRDefault="00000000">
            <w:r>
              <w:rPr>
                <w:sz w:val="18"/>
                <w:szCs w:val="18"/>
              </w:rPr>
              <w:t xml:space="preserve">Hamilton (2018). REStat 100(5)</w:t>
            </w:r>
          </w:p>
        </w:tc>
        <w:tc>
          <w:tcPr>
            <w:tcW w:w="1300" w:type="dxa"/>
            <w:tcMar>
              <w:top w:w="50" w:type="dxa"/>
              <w:left w:w="100" w:type="dxa"/>
              <w:bottom w:w="50" w:type="dxa"/>
              <w:right w:w="100" w:type="dxa"/>
            </w:tcMar>
          </w:tcPr>
          <w:p w14:paraId="0F545D47" w14:textId="77777777" w:rsidR="00576667" w:rsidRDefault="00000000">
            <w:r>
              <w:rPr>
                <w:sz w:val="18"/>
                <w:szCs w:val="18"/>
              </w:rPr>
              <w:t>Academia</w:t>
            </w:r>
          </w:p>
        </w:tc>
        <w:tc>
          <w:tcPr>
            <w:tcW w:w="2650" w:type="dxa"/>
            <w:tcMar>
              <w:top w:w="50" w:type="dxa"/>
              <w:left w:w="100" w:type="dxa"/>
              <w:bottom w:w="50" w:type="dxa"/>
              <w:right w:w="100" w:type="dxa"/>
            </w:tcMar>
          </w:tcPr>
          <w:p w14:paraId="328B29B6" w14:textId="77777777" w:rsidR="00576667" w:rsidRDefault="00000000">
            <w:r>
              <w:rPr>
                <w:sz w:val="18"/>
                <w:szCs w:val="18"/>
              </w:rPr>
              <w:t>Crítica al filtro HP; regresión a horizonte fijo</w:t>
            </w:r>
          </w:p>
        </w:tc>
        <w:tc>
          <w:tcPr>
            <w:tcW w:w="3060" w:type="dxa"/>
            <w:tcMar>
              <w:top w:w="50" w:type="dxa"/>
              <w:left w:w="100" w:type="dxa"/>
              <w:bottom w:w="50" w:type="dxa"/>
              <w:right w:w="100" w:type="dxa"/>
            </w:tcMar>
          </w:tcPr>
          <w:p w14:paraId="1FCBF872" w14:textId="77777777" w:rsidR="00576667" w:rsidRDefault="00000000">
            <w:r>
              <w:rPr>
                <w:sz w:val="18"/>
                <w:szCs w:val="18"/>
              </w:rPr>
              <w:t>El HP induce ciclos espurios y distorsiona el fin de muestra</w:t>
            </w:r>
          </w:p>
        </w:tc>
      </w:tr>
      <w:tr w:rsidR="00576667" w14:paraId="7DCCA444" w14:textId="77777777">
        <w:tblPrEx>
          <w:tblCellMar>
            <w:top w:w="0" w:type="dxa"/>
            <w:bottom w:w="0" w:type="dxa"/>
          </w:tblCellMar>
        </w:tblPrEx>
        <w:tc>
          <w:tcPr>
            <w:tcW w:w="2350" w:type="dxa"/>
            <w:shd w:val="clear" w:color="auto" w:fill="F2F5FA"/>
            <w:tcMar>
              <w:top w:w="50" w:type="dxa"/>
              <w:left w:w="100" w:type="dxa"/>
              <w:bottom w:w="50" w:type="dxa"/>
              <w:right w:w="100" w:type="dxa"/>
            </w:tcMar>
          </w:tcPr>
          <w:p w14:paraId="78893E7E" w14:textId="77777777" w:rsidR="00576667" w:rsidRDefault="00000000">
            <w:r>
              <w:rPr>
                <w:sz w:val="18"/>
                <w:szCs w:val="18"/>
              </w:rPr>
              <w:t>Drehmann y Yetman (2018). BIS WP 744</w:t>
            </w:r>
          </w:p>
        </w:tc>
        <w:tc>
          <w:tcPr>
            <w:tcW w:w="1300" w:type="dxa"/>
            <w:shd w:val="clear" w:color="auto" w:fill="F2F5FA"/>
            <w:tcMar>
              <w:top w:w="50" w:type="dxa"/>
              <w:left w:w="100" w:type="dxa"/>
              <w:bottom w:w="50" w:type="dxa"/>
              <w:right w:w="100" w:type="dxa"/>
            </w:tcMar>
          </w:tcPr>
          <w:p w14:paraId="442F6A86" w14:textId="77777777" w:rsidR="00576667" w:rsidRDefault="00000000">
            <w:r>
              <w:rPr>
                <w:sz w:val="18"/>
                <w:szCs w:val="18"/>
              </w:rPr>
              <w:t>BIS</w:t>
            </w:r>
          </w:p>
        </w:tc>
        <w:tc>
          <w:tcPr>
            <w:tcW w:w="2650" w:type="dxa"/>
            <w:shd w:val="clear" w:color="auto" w:fill="F2F5FA"/>
            <w:tcMar>
              <w:top w:w="50" w:type="dxa"/>
              <w:left w:w="100" w:type="dxa"/>
              <w:bottom w:w="50" w:type="dxa"/>
              <w:right w:w="100" w:type="dxa"/>
            </w:tcMar>
          </w:tcPr>
          <w:p w14:paraId="6A166F2B" w14:textId="77777777" w:rsidR="00576667" w:rsidRDefault="00000000">
            <w:r>
              <w:rPr>
                <w:sz w:val="18"/>
                <w:szCs w:val="18"/>
              </w:rPr>
              <w:t>Comparación de filtros para brechas de crédito</w:t>
            </w:r>
          </w:p>
        </w:tc>
        <w:tc>
          <w:tcPr>
            <w:tcW w:w="3060" w:type="dxa"/>
            <w:shd w:val="clear" w:color="auto" w:fill="F2F5FA"/>
            <w:tcMar>
              <w:top w:w="50" w:type="dxa"/>
              <w:left w:w="100" w:type="dxa"/>
              <w:bottom w:w="50" w:type="dxa"/>
              <w:right w:w="100" w:type="dxa"/>
            </w:tcMar>
          </w:tcPr>
          <w:p w14:paraId="79B3B250" w14:textId="77777777" w:rsidR="00576667" w:rsidRDefault="00000000">
            <w:r>
              <w:rPr>
                <w:sz w:val="18"/>
                <w:szCs w:val="18"/>
              </w:rPr>
              <w:t>No hay filtro dominante para todo uso; el HP sigue siendo defendible según el objetivo</w:t>
            </w:r>
          </w:p>
        </w:tc>
      </w:tr>
      <w:tr w:rsidR="00576667" w14:paraId="4CD37245" w14:textId="77777777">
        <w:tblPrEx>
          <w:tblCellMar>
            <w:top w:w="0" w:type="dxa"/>
            <w:bottom w:w="0" w:type="dxa"/>
          </w:tblCellMar>
        </w:tblPrEx>
        <w:tc>
          <w:tcPr>
            <w:tcW w:w="2350" w:type="dxa"/>
            <w:tcMar>
              <w:top w:w="50" w:type="dxa"/>
              <w:left w:w="100" w:type="dxa"/>
              <w:bottom w:w="50" w:type="dxa"/>
              <w:right w:w="100" w:type="dxa"/>
            </w:tcMar>
          </w:tcPr>
          <w:p w14:paraId="2EC6B2A0" w14:textId="77777777" w:rsidR="00576667" w:rsidRDefault="00000000">
            <w:r>
              <w:rPr>
                <w:sz w:val="18"/>
                <w:szCs w:val="18"/>
              </w:rPr>
              <w:t>Phillips y Shi (2021). IER 62(2)</w:t>
            </w:r>
          </w:p>
        </w:tc>
        <w:tc>
          <w:tcPr>
            <w:tcW w:w="1300" w:type="dxa"/>
            <w:tcMar>
              <w:top w:w="50" w:type="dxa"/>
              <w:left w:w="100" w:type="dxa"/>
              <w:bottom w:w="50" w:type="dxa"/>
              <w:right w:w="100" w:type="dxa"/>
            </w:tcMar>
          </w:tcPr>
          <w:p w14:paraId="17BF6996" w14:textId="77777777" w:rsidR="00576667" w:rsidRDefault="00000000">
            <w:r>
              <w:rPr>
                <w:sz w:val="18"/>
                <w:szCs w:val="18"/>
              </w:rPr>
              <w:t>Academia</w:t>
            </w:r>
          </w:p>
        </w:tc>
        <w:tc>
          <w:tcPr>
            <w:tcW w:w="2650" w:type="dxa"/>
            <w:tcMar>
              <w:top w:w="50" w:type="dxa"/>
              <w:left w:w="100" w:type="dxa"/>
              <w:bottom w:w="50" w:type="dxa"/>
              <w:right w:w="100" w:type="dxa"/>
            </w:tcMar>
          </w:tcPr>
          <w:p w14:paraId="25426195" w14:textId="77777777" w:rsidR="00576667" w:rsidRDefault="00000000">
            <w:r>
              <w:rPr>
                <w:sz w:val="18"/>
                <w:szCs w:val="18"/>
              </w:rPr>
              <w:t xml:space="preserve">Boosted HP: iteración tipo boosting sobre residuos del HP</w:t>
            </w:r>
          </w:p>
        </w:tc>
        <w:tc>
          <w:tcPr>
            <w:tcW w:w="3060" w:type="dxa"/>
            <w:tcMar>
              <w:top w:w="50" w:type="dxa"/>
              <w:left w:w="100" w:type="dxa"/>
              <w:bottom w:w="50" w:type="dxa"/>
              <w:right w:w="100" w:type="dxa"/>
            </w:tcMar>
          </w:tcPr>
          <w:p w14:paraId="7EA64C8B" w14:textId="77777777" w:rsidR="00576667" w:rsidRDefault="00000000">
            <w:r>
              <w:rPr>
                <w:sz w:val="18"/>
                <w:szCs w:val="18"/>
              </w:rPr>
              <w:t xml:space="preserve">Corrige el sub-ajuste y el sesgo de fin de muestra; base del filtro BHP del pipeline</w:t>
            </w:r>
          </w:p>
        </w:tc>
      </w:tr>
    </w:tbl>
    <w:p w14:paraId="66D3B1FB" w14:textId="77777777" w:rsidR="00576667" w:rsidRDefault="00000000">
      <w:pPr>
        <w:pStyle w:val="Ttulo1"/>
        <w:spacing w:before="320" w:after="180"/>
      </w:pPr>
      <w:r>
        <w:rPr>
          <w:b/>
          <w:bCs/>
          <w:color w:val="1F3864"/>
          <w:sz w:val="30"/>
          <w:szCs w:val="30"/>
        </w:rPr>
        <w:t>Referencias</w:t>
      </w:r>
    </w:p>
    <w:p w14:paraId="625FE01E" w14:textId="77777777" w:rsidR="00576667" w:rsidRDefault="00000000">
      <w:pPr>
        <w:spacing w:after="140" w:line="260" w:lineRule="auto"/>
        <w:ind w:left="567" w:hanging="567"/>
      </w:pPr>
      <w:r>
        <w:lastRenderedPageBreak/>
        <w:t xml:space="preserve">Arango, L. E., García, A. F. y Posada, C. E. (2007). </w:t>
      </w:r>
      <w:r>
        <w:rPr>
          <w:i/>
          <w:iCs/>
        </w:rPr>
        <w:t>Inflación y desempleo en Colombia: NAIRU y tasa de desempleo compatible con alcanzar la meta de inflación (1984–2005)</w:t>
      </w:r>
      <w:r>
        <w:t xml:space="preserve">. Borradores de Economía No. 453, Banco de la República. </w:t>
      </w:r>
      <w:hyperlink r:id="rId7" w:history="1">
        <w:r>
          <w:rPr>
            <w:color w:val="0563C1"/>
            <w:sz w:val="20"/>
            <w:szCs w:val="20"/>
            <w:u w:val="single"/>
          </w:rPr>
          <w:t>https://www.banrep.gov.co/en/node/304</w:t>
        </w:r>
      </w:hyperlink>
    </w:p>
    <w:p w14:paraId="1325DB5B" w14:textId="77777777" w:rsidR="00576667" w:rsidRDefault="00000000">
      <w:pPr>
        <w:spacing w:after="140" w:line="260" w:lineRule="auto"/>
        <w:ind w:left="567" w:hanging="567"/>
      </w:pPr>
      <w:r>
        <w:t xml:space="preserve">Ball, L., Leigh, D. y Mishra, P. (2025). </w:t>
      </w:r>
      <w:r>
        <w:rPr>
          <w:i/>
          <w:iCs/>
        </w:rPr>
        <w:t xml:space="preserve">The Rise and Retreat of US Inflation: An Update</w:t>
      </w:r>
      <w:r>
        <w:t xml:space="preserve">. IMF Working Paper WP/25/094 (actualización de Brookings Papers on Economic Activity, otoño de 2022). </w:t>
      </w:r>
      <w:hyperlink r:id="rId8" w:history="1">
        <w:r>
          <w:rPr>
            <w:color w:val="0563C1"/>
            <w:sz w:val="20"/>
            <w:szCs w:val="20"/>
            <w:u w:val="single"/>
          </w:rPr>
          <w:t>https://www.imf.org/-/media/files/publications/wp/2025/english/wpiea2025094-print-pdf.pdf</w:t>
        </w:r>
      </w:hyperlink>
    </w:p>
    <w:p w14:paraId="2E5D0096" w14:textId="77777777" w:rsidR="00576667" w:rsidRDefault="00000000">
      <w:pPr>
        <w:spacing w:after="140" w:line="260" w:lineRule="auto"/>
        <w:ind w:left="567" w:hanging="567"/>
      </w:pPr>
      <w:r>
        <w:t xml:space="preserve">Banco de la República (2020). Recuadro 1: Nuevas estimaciones del PIB potencial (tendencial) y la brecha del producto en Colombia. </w:t>
      </w:r>
      <w:r>
        <w:rPr>
          <w:i/>
          <w:iCs/>
        </w:rPr>
        <w:t>Informe de Política Monetaria, enero de 2020</w:t>
      </w:r>
      <w:r>
        <w:t xml:space="preserve">. </w:t>
      </w:r>
      <w:hyperlink r:id="rId9" w:history="1">
        <w:r>
          <w:rPr>
            <w:color w:val="0563C1"/>
            <w:sz w:val="20"/>
            <w:szCs w:val="20"/>
            <w:u w:val="single"/>
          </w:rPr>
          <w:t>https://www.banrep.gov.co/es/recuadro-1-nuevas-estimaciones-del-pib-potencial-tendencial-y-brecha-del-producto-colombia</w:t>
        </w:r>
      </w:hyperlink>
    </w:p>
    <w:p w14:paraId="40EC3BC1" w14:textId="77777777" w:rsidR="00576667" w:rsidRDefault="00000000">
      <w:pPr>
        <w:spacing w:after="140" w:line="260" w:lineRule="auto"/>
        <w:ind w:left="567" w:hanging="567"/>
      </w:pPr>
      <w:r>
        <w:t xml:space="preserve">Banco de la República (2026). </w:t>
      </w:r>
      <w:r>
        <w:rPr>
          <w:i/>
          <w:iCs/>
        </w:rPr>
        <w:t>Informe de Política Monetaria, enero de 2026</w:t>
      </w:r>
      <w:r>
        <w:t xml:space="preserve">. </w:t>
      </w:r>
      <w:hyperlink r:id="rId10" w:history="1">
        <w:r>
          <w:rPr>
            <w:color w:val="0563C1"/>
            <w:sz w:val="20"/>
            <w:szCs w:val="20"/>
            <w:u w:val="single"/>
          </w:rPr>
          <w:t>https://www.banrep.gov.co/en/publications-research/monetary-policy-report/january-2026</w:t>
        </w:r>
      </w:hyperlink>
    </w:p>
    <w:p w14:paraId="41BD3CF8" w14:textId="77777777" w:rsidR="00576667" w:rsidRDefault="00000000">
      <w:pPr>
        <w:spacing w:after="140" w:line="260" w:lineRule="auto"/>
        <w:ind w:left="567" w:hanging="567"/>
      </w:pPr>
      <w:r>
        <w:t xml:space="preserve">Benigno, P. y Eggertsson, G. B. (2023). </w:t>
      </w:r>
      <w:r>
        <w:rPr>
          <w:i/>
          <w:iCs/>
        </w:rPr>
        <w:t xml:space="preserve">It's Baaack: The Surge in Inflation in the 2020s and the Return of the Non-Linear Phillips Curve</w:t>
      </w:r>
      <w:r>
        <w:t xml:space="preserve">. NBER Working Paper 31197. </w:t>
      </w:r>
      <w:hyperlink r:id="rId11" w:history="1">
        <w:r>
          <w:rPr>
            <w:color w:val="0563C1"/>
            <w:sz w:val="20"/>
            <w:szCs w:val="20"/>
            <w:u w:val="single"/>
          </w:rPr>
          <w:t>https://www.nber.org/system/files/working_papers/w31197/w31197.pdf</w:t>
        </w:r>
      </w:hyperlink>
    </w:p>
    <w:p w14:paraId="13D8D87A" w14:textId="77777777" w:rsidR="00576667" w:rsidRDefault="00000000">
      <w:pPr>
        <w:spacing w:after="140" w:line="260" w:lineRule="auto"/>
        <w:ind w:left="567" w:hanging="567"/>
      </w:pPr>
      <w:r>
        <w:t xml:space="preserve">Bok, B., Crump, R. K., Nekarda, C. J. y Petrosky-Nadeau, N. (2023). </w:t>
      </w:r>
      <w:r>
        <w:rPr>
          <w:i/>
          <w:iCs/>
        </w:rPr>
        <w:t xml:space="preserve">Estimating Natural Rates of Unemployment: A Primer</w:t>
      </w:r>
      <w:r>
        <w:t xml:space="preserve">. FRBSF Working Paper 2023-25, Federal Reserve Bank of San Francisco. </w:t>
      </w:r>
      <w:hyperlink r:id="rId12" w:history="1">
        <w:r>
          <w:rPr>
            <w:color w:val="0563C1"/>
            <w:sz w:val="20"/>
            <w:szCs w:val="20"/>
            <w:u w:val="single"/>
          </w:rPr>
          <w:t>https://www.frbsf.org/wp-content/uploads/wp2023-25.pdf</w:t>
        </w:r>
      </w:hyperlink>
    </w:p>
    <w:p w14:paraId="00F586C2" w14:textId="77777777" w:rsidR="00576667" w:rsidRDefault="00000000">
      <w:pPr>
        <w:spacing w:after="140" w:line="260" w:lineRule="auto"/>
        <w:ind w:left="567" w:hanging="567"/>
      </w:pPr>
      <w:r>
        <w:t xml:space="preserve">CARF (2022). </w:t>
      </w:r>
      <w:r>
        <w:rPr>
          <w:i/>
          <w:iCs/>
        </w:rPr>
        <w:t>PIB Tendencial en Colombia: Metodología y Resultados</w:t>
      </w:r>
      <w:r>
        <w:t xml:space="preserve">. Nota técnica, Comité Autónomo de la Regla Fiscal, abril de 2022. </w:t>
      </w:r>
      <w:hyperlink r:id="rId13" w:history="1">
        <w:r>
          <w:rPr>
            <w:color w:val="0563C1"/>
            <w:sz w:val="20"/>
            <w:szCs w:val="20"/>
            <w:u w:val="single"/>
          </w:rPr>
          <w:t>https://www.carf.gov.co/webcenter/ShowProperty?nodeId=/ConexionContent/WCC_CLUSTER-193870//idcPrimaryFile&amp;revision=latestreleased</w:t>
        </w:r>
      </w:hyperlink>
    </w:p>
    <w:p w14:paraId="663F6A0F" w14:textId="77777777" w:rsidR="00576667" w:rsidRDefault="00000000">
      <w:pPr>
        <w:spacing w:after="140" w:line="260" w:lineRule="auto"/>
        <w:ind w:left="567" w:hanging="567"/>
      </w:pPr>
      <w:r>
        <w:t xml:space="preserve">CARF (2023). </w:t>
      </w:r>
      <w:r>
        <w:rPr>
          <w:i/>
          <w:iCs/>
        </w:rPr>
        <w:t>Actualización del PIB Tendencial para Colombia 2023–2034</w:t>
      </w:r>
      <w:r>
        <w:t xml:space="preserve">. Comité Autónomo de la Regla Fiscal. </w:t>
      </w:r>
      <w:hyperlink r:id="rId14" w:history="1">
        <w:r>
          <w:rPr>
            <w:color w:val="0563C1"/>
            <w:sz w:val="20"/>
            <w:szCs w:val="20"/>
            <w:u w:val="single"/>
          </w:rPr>
          <w:t>https://www.carf.gov.co/webcenter/ShowProperty?nodeId=/ConexionContent/WCC_CLUSTER-219454//idcPrimaryFile&amp;revision=latestreleased</w:t>
        </w:r>
      </w:hyperlink>
    </w:p>
    <w:p w14:paraId="29D4BA63" w14:textId="77777777" w:rsidR="00576667" w:rsidRDefault="00000000">
      <w:pPr>
        <w:spacing w:after="140" w:line="260" w:lineRule="auto"/>
        <w:ind w:left="567" w:hanging="567"/>
      </w:pPr>
      <w:r>
        <w:t xml:space="preserve">CARF (2026). </w:t>
      </w:r>
      <w:r>
        <w:rPr>
          <w:i/>
          <w:iCs/>
        </w:rPr>
        <w:t>Informe del Comité Autónomo de la Regla Fiscal al Congreso de la República</w:t>
      </w:r>
      <w:r>
        <w:t xml:space="preserve">, abril de 2026. (Actualización del PIB tendencial 2026–2037: cobertura de prensa en La República y Portafolio, mayo de 2026). </w:t>
      </w:r>
      <w:hyperlink r:id="rId15" w:history="1">
        <w:r>
          <w:rPr>
            <w:color w:val="0563C1"/>
            <w:sz w:val="20"/>
            <w:szCs w:val="20"/>
            <w:u w:val="single"/>
          </w:rPr>
          <w:t>https://www.carf.gov.co/documents/d/guest/informe-al-congreso-abril-2026</w:t>
        </w:r>
      </w:hyperlink>
    </w:p>
    <w:p w14:paraId="60FF2D59" w14:textId="77777777" w:rsidR="00576667" w:rsidRDefault="00000000">
      <w:pPr>
        <w:spacing w:after="140" w:line="260" w:lineRule="auto"/>
        <w:ind w:left="567" w:hanging="567"/>
      </w:pPr>
      <w:r>
        <w:t xml:space="preserve">CBO (2026). </w:t>
      </w:r>
      <w:r>
        <w:rPr>
          <w:i/>
          <w:iCs/>
        </w:rPr>
        <w:t xml:space="preserve">The Budget and Economic Outlook: 2026 to 2036</w:t>
      </w:r>
      <w:r>
        <w:t xml:space="preserve">. Congressional Budget Office. </w:t>
      </w:r>
      <w:hyperlink r:id="rId16" w:history="1">
        <w:r>
          <w:rPr>
            <w:color w:val="0563C1"/>
            <w:sz w:val="20"/>
            <w:szCs w:val="20"/>
            <w:u w:val="single"/>
          </w:rPr>
          <w:t>https://www.cbo.gov/publication/62105</w:t>
        </w:r>
      </w:hyperlink>
    </w:p>
    <w:p w14:paraId="387B90D1" w14:textId="77777777" w:rsidR="00576667" w:rsidRDefault="00000000">
      <w:pPr>
        <w:spacing w:after="140" w:line="260" w:lineRule="auto"/>
        <w:ind w:left="567" w:hanging="567"/>
      </w:pPr>
      <w:r>
        <w:t xml:space="preserve">Clavijo, S. (2024). Revitalizando el crecimiento potencial de Colombia. </w:t>
      </w:r>
      <w:r>
        <w:rPr>
          <w:i/>
          <w:iCs/>
        </w:rPr>
        <w:t>Coyuntura Económica: Investigación Económica y Social</w:t>
      </w:r>
      <w:r>
        <w:t xml:space="preserve">, 54, 37–59. Fedesarrollo. </w:t>
      </w:r>
      <w:hyperlink r:id="rId17" w:history="1">
        <w:r>
          <w:rPr>
            <w:color w:val="0563C1"/>
            <w:sz w:val="20"/>
            <w:szCs w:val="20"/>
            <w:u w:val="single"/>
          </w:rPr>
          <w:t>https://www.repository.fedesarrollo.org.co/handle/11445/4712</w:t>
        </w:r>
      </w:hyperlink>
    </w:p>
    <w:p w14:paraId="776F6176" w14:textId="77777777" w:rsidR="00576667" w:rsidRDefault="00000000">
      <w:pPr>
        <w:spacing w:after="140" w:line="260" w:lineRule="auto"/>
        <w:ind w:left="567" w:hanging="567"/>
      </w:pPr>
      <w:r>
        <w:t xml:space="preserve">Crump, R. K., Eusepi, S., Giannoni, M. y Şahin, A. (2024). The unemployment–inflation trade-off revisited: The Phillips curve in COVID times. </w:t>
      </w:r>
      <w:r>
        <w:rPr>
          <w:i/>
          <w:iCs/>
        </w:rPr>
        <w:t xml:space="preserve">Journal of Monetary Economics</w:t>
      </w:r>
      <w:r>
        <w:t xml:space="preserve">, 145. </w:t>
      </w:r>
      <w:hyperlink r:id="rId18" w:history="1">
        <w:r>
          <w:rPr>
            <w:color w:val="0563C1"/>
            <w:sz w:val="20"/>
            <w:szCs w:val="20"/>
            <w:u w:val="single"/>
          </w:rPr>
          <w:t>https://www.sciencedirect.com/science/article/abs/pii/S0304393224000333</w:t>
        </w:r>
      </w:hyperlink>
    </w:p>
    <w:p w14:paraId="06FAED46" w14:textId="77777777" w:rsidR="00576667" w:rsidRDefault="00000000">
      <w:pPr>
        <w:spacing w:after="140" w:line="260" w:lineRule="auto"/>
        <w:ind w:left="567" w:hanging="567"/>
      </w:pPr>
      <w:r>
        <w:t xml:space="preserve">Drehmann, M. y Yetman, J. (2018). </w:t>
      </w:r>
      <w:r>
        <w:rPr>
          <w:i/>
          <w:iCs/>
        </w:rPr>
        <w:t xml:space="preserve">Why you should use the Hodrick-Prescott filter — at least to generate credit gaps</w:t>
      </w:r>
      <w:r>
        <w:t xml:space="preserve">. BIS Working Paper No. 744. </w:t>
      </w:r>
      <w:hyperlink r:id="rId19" w:history="1">
        <w:r>
          <w:rPr>
            <w:color w:val="0563C1"/>
            <w:sz w:val="20"/>
            <w:szCs w:val="20"/>
            <w:u w:val="single"/>
          </w:rPr>
          <w:t>https://www.bis.org/publ/work744.pdf</w:t>
        </w:r>
      </w:hyperlink>
    </w:p>
    <w:p w14:paraId="636D3E37" w14:textId="77777777" w:rsidR="00576667" w:rsidRDefault="00000000">
      <w:pPr>
        <w:spacing w:after="140" w:line="260" w:lineRule="auto"/>
        <w:ind w:left="567" w:hanging="567"/>
      </w:pPr>
      <w:r>
        <w:lastRenderedPageBreak/>
        <w:t xml:space="preserve">FRED, Federal Reserve Bank of St. Louis. Series </w:t>
      </w:r>
      <w:r>
        <w:rPr>
          <w:i/>
          <w:iCs/>
        </w:rPr>
        <w:t>GDPPOT</w:t>
      </w:r>
      <w:r>
        <w:t xml:space="preserve"> (Real Potential GDP, CBO) y </w:t>
      </w:r>
      <w:r>
        <w:rPr>
          <w:i/>
          <w:iCs/>
        </w:rPr>
        <w:t>NROU</w:t>
      </w:r>
      <w:r>
        <w:t xml:space="preserve"> (Noncyclical Rate of Unemployment, CBO). </w:t>
      </w:r>
      <w:hyperlink r:id="rId20" w:history="1">
        <w:r>
          <w:rPr>
            <w:color w:val="0563C1"/>
            <w:sz w:val="20"/>
            <w:szCs w:val="20"/>
            <w:u w:val="single"/>
          </w:rPr>
          <w:t>https://fred.stlouisfed.org/series/NROU</w:t>
        </w:r>
      </w:hyperlink>
    </w:p>
    <w:p w14:paraId="70F8AF20" w14:textId="77777777" w:rsidR="00576667" w:rsidRDefault="00000000">
      <w:pPr>
        <w:spacing w:after="140" w:line="260" w:lineRule="auto"/>
        <w:ind w:left="567" w:hanging="567"/>
      </w:pPr>
      <w:r>
        <w:t xml:space="preserve">GAMLA — Grupo de Análisis del Mercado Laboral (2023). Dinámica reciente de la ocupación y metodologías para el cálculo de la tasa de desempleo no inflacionaria. </w:t>
      </w:r>
      <w:r>
        <w:rPr>
          <w:i/>
          <w:iCs/>
        </w:rPr>
        <w:t>Reporte del Mercado Laboral</w:t>
      </w:r>
      <w:r>
        <w:t xml:space="preserve">, julio de 2023, Banco de la República. </w:t>
      </w:r>
      <w:hyperlink r:id="rId21" w:history="1">
        <w:r>
          <w:rPr>
            <w:color w:val="0563C1"/>
            <w:sz w:val="20"/>
            <w:szCs w:val="20"/>
            <w:u w:val="single"/>
          </w:rPr>
          <w:t>https://www.banrep.gov.co/en/publications-research/labor-market-report/july-2023</w:t>
        </w:r>
      </w:hyperlink>
    </w:p>
    <w:p w14:paraId="0F635517" w14:textId="77777777" w:rsidR="00576667" w:rsidRDefault="00000000">
      <w:pPr>
        <w:spacing w:after="140" w:line="260" w:lineRule="auto"/>
        <w:ind w:left="567" w:hanging="567"/>
      </w:pPr>
      <w:r>
        <w:t xml:space="preserve">Gómez, J. y Julio, J. M. (2000). </w:t>
      </w:r>
      <w:r>
        <w:rPr>
          <w:i/>
          <w:iCs/>
        </w:rPr>
        <w:t xml:space="preserve">Transmission Mechanisms and Inflation Targeting: The Case of Colombia</w:t>
      </w:r>
      <w:r>
        <w:t xml:space="preserve">. Banco de la República. (Disponible en docs/bib del repositorio del proyecto).</w:t>
      </w:r>
    </w:p>
    <w:p w14:paraId="70C40D92" w14:textId="77777777" w:rsidR="00576667" w:rsidRDefault="00000000">
      <w:pPr>
        <w:spacing w:after="140" w:line="260" w:lineRule="auto"/>
        <w:ind w:left="567" w:hanging="567"/>
      </w:pPr>
      <w:r>
        <w:t xml:space="preserve">González, A., Guarín, A., Rodríguez, D. y Vargas, H. (2020). </w:t>
      </w:r>
      <w:r>
        <w:rPr>
          <w:i/>
          <w:iCs/>
        </w:rPr>
        <w:t xml:space="preserve">4GM: A New Model for the Monetary Policy Analysis in Colombia</w:t>
      </w:r>
      <w:r>
        <w:t xml:space="preserve">. Borradores de Economía No. 1085, Banco de la República (también Red Investigadores de Economía, WP 31). </w:t>
      </w:r>
      <w:hyperlink r:id="rId22" w:history="1">
        <w:r>
          <w:rPr>
            <w:color w:val="0563C1"/>
            <w:sz w:val="20"/>
            <w:szCs w:val="20"/>
            <w:u w:val="single"/>
          </w:rPr>
          <w:t>https://www.banrep.gov.co/en/4gm-new-model-monetary-policy-analysis-colombia</w:t>
        </w:r>
      </w:hyperlink>
    </w:p>
    <w:p w14:paraId="2C499F6A" w14:textId="77777777" w:rsidR="00576667" w:rsidRDefault="00000000">
      <w:pPr>
        <w:spacing w:after="140" w:line="260" w:lineRule="auto"/>
        <w:ind w:left="567" w:hanging="567"/>
      </w:pPr>
      <w:r>
        <w:t xml:space="preserve">Granados, C. y Parra-Amado, D. (2023). </w:t>
      </w:r>
      <w:r>
        <w:rPr>
          <w:i/>
          <w:iCs/>
        </w:rPr>
        <w:t xml:space="preserve">Estimating the Output Gap After COVID: How to Address Unprecedented Macroeconomic Variations</w:t>
      </w:r>
      <w:r>
        <w:t xml:space="preserve">. Borradores de Economía No. 1249, Banco de la República. </w:t>
      </w:r>
      <w:hyperlink r:id="rId23" w:history="1">
        <w:r>
          <w:rPr>
            <w:color w:val="0563C1"/>
            <w:sz w:val="20"/>
            <w:szCs w:val="20"/>
            <w:u w:val="single"/>
          </w:rPr>
          <w:t>https://ideas.repec.org/p/bdr/borrec/1249.html</w:t>
        </w:r>
      </w:hyperlink>
    </w:p>
    <w:p w14:paraId="1F756546" w14:textId="77777777" w:rsidR="00576667" w:rsidRDefault="00000000">
      <w:pPr>
        <w:spacing w:after="140" w:line="260" w:lineRule="auto"/>
        <w:ind w:left="567" w:hanging="567"/>
      </w:pPr>
      <w:r>
        <w:t xml:space="preserve">Gudmundsson, T., Jackson, C. y Portillo, R. (2024). </w:t>
      </w:r>
      <w:r>
        <w:rPr>
          <w:i/>
          <w:iCs/>
        </w:rPr>
        <w:t xml:space="preserve">The Shifting and Steepening of Phillips Curves During the Pandemic Recovery: International Evidence and Some Theory</w:t>
      </w:r>
      <w:r>
        <w:t xml:space="preserve">. IMF Working Paper WP/24/007. </w:t>
      </w:r>
      <w:hyperlink r:id="rId24" w:history="1">
        <w:r>
          <w:rPr>
            <w:color w:val="0563C1"/>
            <w:sz w:val="20"/>
            <w:szCs w:val="20"/>
            <w:u w:val="single"/>
          </w:rPr>
          <w:t>https://www.imf.org/en/Publications/WP/Issues/2024/01/12/The-Shifting-and-Steepening-of-Phillips-Curves-During-the-Pandemic-Recovery-International-543712</w:t>
        </w:r>
      </w:hyperlink>
    </w:p>
    <w:p w14:paraId="75BAF802" w14:textId="77777777" w:rsidR="00576667" w:rsidRDefault="00000000">
      <w:pPr>
        <w:spacing w:after="140" w:line="260" w:lineRule="auto"/>
        <w:ind w:left="567" w:hanging="567"/>
      </w:pPr>
      <w:r>
        <w:t xml:space="preserve">Hamilton, J. D. (2018). Why You Should Never Use the Hodrick-Prescott Filter. </w:t>
      </w:r>
      <w:r>
        <w:rPr>
          <w:i/>
          <w:iCs/>
        </w:rPr>
        <w:t xml:space="preserve">Review of Economics and Statistics</w:t>
      </w:r>
      <w:r>
        <w:t>, 100(5), 831–843.</w:t>
      </w:r>
    </w:p>
    <w:p w14:paraId="20C94CCE" w14:textId="77777777" w:rsidR="00576667" w:rsidRDefault="00000000">
      <w:pPr>
        <w:spacing w:after="140" w:line="260" w:lineRule="auto"/>
        <w:ind w:left="567" w:hanging="567"/>
      </w:pPr>
      <w:r>
        <w:t xml:space="preserve">IMF (2025). </w:t>
      </w:r>
      <w:r>
        <w:rPr>
          <w:i/>
          <w:iCs/>
        </w:rPr>
        <w:t xml:space="preserve">Colombia: 2025 Article IV Consultation</w:t>
      </w:r>
      <w:r>
        <w:t xml:space="preserve">. IMF Country Report No. 25/280. </w:t>
      </w:r>
      <w:hyperlink r:id="rId25" w:history="1">
        <w:r>
          <w:rPr>
            <w:color w:val="0563C1"/>
            <w:sz w:val="20"/>
            <w:szCs w:val="20"/>
            <w:u w:val="single"/>
          </w:rPr>
          <w:t>https://www.imf.org/en/publications/cr/issues/2025/09/29/colombia-2025-article-iv-consultation-press-release-staff-report-and-statement-by-the-570803</w:t>
        </w:r>
      </w:hyperlink>
    </w:p>
    <w:p w14:paraId="659439D9" w14:textId="77777777" w:rsidR="00576667" w:rsidRDefault="00000000">
      <w:pPr>
        <w:spacing w:after="140" w:line="260" w:lineRule="auto"/>
        <w:ind w:left="567" w:hanging="567"/>
      </w:pPr>
      <w:r>
        <w:t xml:space="preserve">Lanau, S., Rodríguez-Delgado, J. D. y Roldós, J. (2017). </w:t>
      </w:r>
      <w:r>
        <w:rPr>
          <w:i/>
          <w:iCs/>
        </w:rPr>
        <w:t xml:space="preserve">Potential Growth in Colombia</w:t>
      </w:r>
      <w:r>
        <w:t xml:space="preserve">. IMF Working Paper WP/17/238. </w:t>
      </w:r>
      <w:hyperlink r:id="rId26" w:history="1">
        <w:r>
          <w:rPr>
            <w:color w:val="0563C1"/>
            <w:sz w:val="20"/>
            <w:szCs w:val="20"/>
            <w:u w:val="single"/>
          </w:rPr>
          <w:t>https://www.imf.org/-/media/files/publications/wp/2017/wp17238.pdf</w:t>
        </w:r>
      </w:hyperlink>
    </w:p>
    <w:p w14:paraId="027C30D2" w14:textId="77777777" w:rsidR="00576667" w:rsidRDefault="00000000">
      <w:pPr>
        <w:spacing w:after="140" w:line="260" w:lineRule="auto"/>
        <w:ind w:left="567" w:hanging="567"/>
      </w:pPr>
      <w:r>
        <w:t xml:space="preserve">Ministerio de Hacienda y Crédito Público (2025). </w:t>
      </w:r>
      <w:r>
        <w:rPr>
          <w:i/>
          <w:iCs/>
        </w:rPr>
        <w:t>Marco Fiscal de Mediano Plazo 2025</w:t>
      </w:r>
      <w:r>
        <w:t xml:space="preserve">. </w:t>
      </w:r>
      <w:hyperlink r:id="rId27" w:history="1">
        <w:r>
          <w:rPr>
            <w:color w:val="0563C1"/>
            <w:sz w:val="20"/>
            <w:szCs w:val="20"/>
            <w:u w:val="single"/>
          </w:rPr>
          <w:t>https://www.minhacienda.gov.co/documents/20119/2284557/MFMP+2025.pdf/9e63286c-f658-7a76-29ad-2512ead562e3?t=1752090754929</w:t>
        </w:r>
      </w:hyperlink>
    </w:p>
    <w:p w14:paraId="7169ACD9" w14:textId="77777777" w:rsidR="00576667" w:rsidRDefault="00000000">
      <w:pPr>
        <w:spacing w:after="140" w:line="260" w:lineRule="auto"/>
        <w:ind w:left="567" w:hanging="567"/>
      </w:pPr>
      <w:r>
        <w:t xml:space="preserve">OCDE (2024). </w:t>
      </w:r>
      <w:r>
        <w:rPr>
          <w:i/>
          <w:iCs/>
        </w:rPr>
        <w:t xml:space="preserve">OECD Economic Surveys: Colombia 2024</w:t>
      </w:r>
      <w:r>
        <w:t xml:space="preserve">. </w:t>
      </w:r>
      <w:hyperlink r:id="rId28" w:history="1">
        <w:r>
          <w:rPr>
            <w:color w:val="0563C1"/>
            <w:sz w:val="20"/>
            <w:szCs w:val="20"/>
            <w:u w:val="single"/>
          </w:rPr>
          <w:t>https://www.oecd.org/en/publications/oecd-economic-surveys-colombia-2024_a1a22cd6-en.html</w:t>
        </w:r>
      </w:hyperlink>
    </w:p>
    <w:p w14:paraId="7E18E263" w14:textId="77777777" w:rsidR="00576667" w:rsidRDefault="00000000">
      <w:pPr>
        <w:spacing w:after="140" w:line="260" w:lineRule="auto"/>
        <w:ind w:left="567" w:hanging="567"/>
      </w:pPr>
      <w:r>
        <w:t xml:space="preserve">Phillips, P. C. B. y Shi, Z. (2021). Boosting: Why You Can Use the HP Filter. </w:t>
      </w:r>
      <w:r>
        <w:rPr>
          <w:i/>
          <w:iCs/>
        </w:rPr>
        <w:t xml:space="preserve">International Economic Review</w:t>
      </w:r>
      <w:r>
        <w:t>, 62(2), 521–570.</w:t>
      </w:r>
    </w:p>
    <w:p w14:paraId="1BB1F3C4" w14:textId="77777777" w:rsidR="00576667" w:rsidRDefault="00000000">
      <w:pPr>
        <w:spacing w:after="140" w:line="260" w:lineRule="auto"/>
        <w:ind w:left="567" w:hanging="567"/>
      </w:pPr>
      <w:r>
        <w:t xml:space="preserve">Ramos, C. I. y Álvarez, R. D. (2020). La tasa natural de desempleo en Colombia 2001–2018: evolución y estimaciones. </w:t>
      </w:r>
      <w:r>
        <w:rPr>
          <w:i/>
          <w:iCs/>
        </w:rPr>
        <w:t>Entramado</w:t>
      </w:r>
      <w:r>
        <w:t xml:space="preserve">, 16(1), 76–93. </w:t>
      </w:r>
      <w:hyperlink r:id="rId29" w:history="1">
        <w:r>
          <w:rPr>
            <w:color w:val="0563C1"/>
            <w:sz w:val="20"/>
            <w:szCs w:val="20"/>
            <w:u w:val="single"/>
          </w:rPr>
          <w:t>https://revistas.unilibre.edu.co/index.php/entramado/article/view/6128</w:t>
        </w:r>
      </w:hyperlink>
    </w:p>
    <w:p w14:paraId="14E16D2A" w14:textId="77777777" w:rsidR="00576667" w:rsidRDefault="00000000">
      <w:pPr>
        <w:spacing w:after="140" w:line="260" w:lineRule="auto"/>
        <w:ind w:left="567" w:hanging="567"/>
      </w:pPr>
      <w:r>
        <w:t xml:space="preserve">Ramos-Veloza, M. A., Naranjo-Saldarriaga, S. y Pulido, J. (2026). </w:t>
      </w:r>
      <w:r>
        <w:rPr>
          <w:i/>
          <w:iCs/>
        </w:rPr>
        <w:t xml:space="preserve">Wage Dynamics, Unemployment, and Inflation: Enhancing 4GM Semi-Structural Model</w:t>
      </w:r>
      <w:r>
        <w:t xml:space="preserve">. Borradores de Economía No. 1341, Banco de la </w:t>
        <w:lastRenderedPageBreak/>
        <w:t xml:space="preserve">República. </w:t>
      </w:r>
      <w:hyperlink r:id="rId30" w:history="1">
        <w:r>
          <w:rPr>
            <w:color w:val="0563C1"/>
            <w:sz w:val="20"/>
            <w:szCs w:val="20"/>
            <w:u w:val="single"/>
          </w:rPr>
          <w:t>https://www.banrep.gov.co/en/publications-research/working-papers-economics/wage-dynamics-unemployment-inflation</w:t>
        </w:r>
      </w:hyperlink>
    </w:p>
    <w:p w14:paraId="27259843" w14:textId="77777777" w:rsidR="00576667" w:rsidRDefault="00000000">
      <w:pPr>
        <w:spacing w:after="140" w:line="260" w:lineRule="auto"/>
        <w:ind w:left="567" w:hanging="567"/>
      </w:pPr>
      <w:r>
        <w:t xml:space="preserve">Shackleton, R. (2018). </w:t>
      </w:r>
      <w:r>
        <w:rPr>
          <w:i/>
          <w:iCs/>
        </w:rPr>
        <w:t xml:space="preserve">Estimating and Projecting Potential Output Using CBO's Forecasting Growth Model</w:t>
      </w:r>
      <w:r>
        <w:t xml:space="preserve">. CBO Working Paper 2018-03, Congressional Budget Office. </w:t>
      </w:r>
      <w:hyperlink r:id="rId31" w:history="1">
        <w:r>
          <w:rPr>
            <w:color w:val="0563C1"/>
            <w:sz w:val="20"/>
            <w:szCs w:val="20"/>
            <w:u w:val="single"/>
          </w:rPr>
          <w:t>https://www.cbo.gov/publication/53558</w:t>
        </w:r>
      </w:hyperlink>
    </w:p>
    <w:p w14:paraId="684EF810" w14:textId="77777777" w:rsidR="00576667" w:rsidRDefault="00000000">
      <w:pPr>
        <w:spacing w:after="140" w:line="260" w:lineRule="auto"/>
        <w:ind w:left="567" w:hanging="567"/>
      </w:pPr>
      <w:r>
        <w:t xml:space="preserve">Tamayo, J. A. (2008). </w:t>
      </w:r>
      <w:r>
        <w:rPr>
          <w:i/>
          <w:iCs/>
        </w:rPr>
        <w:t>La tasa natural de desempleo en Colombia y sus determinantes</w:t>
      </w:r>
      <w:r>
        <w:t xml:space="preserve">. Borradores de Economía No. 491, Banco de la República. </w:t>
      </w:r>
      <w:hyperlink r:id="rId32" w:history="1">
        <w:r>
          <w:rPr>
            <w:color w:val="0563C1"/>
            <w:sz w:val="20"/>
            <w:szCs w:val="20"/>
            <w:u w:val="single"/>
          </w:rPr>
          <w:t>https://repositorio.banrep.gov.co/items/3629d2c5-1c50-43d5-9a64-ee6c2a5cdefa</w:t>
        </w:r>
      </w:hyperlink>
    </w:p>
    <w:p w14:paraId="388F60B8" w14:textId="77777777" w:rsidR="00576667" w:rsidRDefault="00000000">
      <w:pPr>
        <w:pBdr>
          <w:top w:val="single" w:sz="4" w:space="4" w:color="BFBFBF"/>
        </w:pBdr>
        <w:spacing w:before="240"/>
      </w:pPr>
      <w:r>
        <w:rPr>
          <w:i/>
          <w:iCs/>
          <w:color w:val="595959"/>
          <w:sz w:val="18"/>
          <w:szCs w:val="18"/>
        </w:rPr>
        <w:t xml:space="preserve">Nota: los enlaces fueron verificados en julio de 2026. Los documentos del CARF pueden requerir abrir el enlace desde el navegador (el servidor bloquea descargas automatizadas). Las URL de Borradores de Economía remiten a la página oficial o a su ficha en RePEc/IDEAS.</w:t>
      </w:r>
    </w:p>
    <w:sectPr w:rsidR="00576667">
      <w:footerReference w:type="default" r:id="rId3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EDD744" w14:textId="77777777" w:rsidR="00B562CA" w:rsidRDefault="00B562CA">
      <w:r>
        <w:separator/>
      </w:r>
    </w:p>
  </w:endnote>
  <w:endnote w:type="continuationSeparator" w:id="0">
    <w:p w14:paraId="5E83F90D" w14:textId="77777777" w:rsidR="00B562CA" w:rsidRDefault="00B56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553EF8" w14:textId="77777777" w:rsidR="00576667" w:rsidRDefault="00000000">
    <w:pPr>
      <w:jc w:val="center"/>
    </w:pPr>
    <w:r>
      <w:rPr>
        <w:color w:val="595959"/>
        <w:sz w:val="16"/>
        <w:szCs w:val="16"/>
      </w:rPr>
      <w:t xml:space="preserve">Revisión de literatura — PIB potencial y NAIRU · </w:t>
    </w:r>
    <w:r>
      <w:rPr>
        <w:color w:val="595959"/>
        <w:sz w:val="16"/>
        <w:szCs w:val="16"/>
      </w:rPr>
      <w:fldChar w:fldCharType="begin"/>
    </w:r>
    <w:r>
      <w:rPr>
        <w:color w:val="595959"/>
        <w:sz w:val="16"/>
        <w:szCs w:val="16"/>
      </w:rPr>
      <w:instrText>PAGE</w:instrText>
    </w:r>
    <w:r>
      <w:rPr>
        <w:color w:val="595959"/>
        <w:sz w:val="16"/>
        <w:szCs w:val="16"/>
      </w:rPr>
      <w:fldChar w:fldCharType="separate"/>
    </w:r>
    <w:r w:rsidR="00B27D30">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A5050B" w14:textId="77777777" w:rsidR="00B562CA" w:rsidRDefault="00B562CA">
      <w:r>
        <w:separator/>
      </w:r>
    </w:p>
  </w:footnote>
  <w:footnote w:type="continuationSeparator" w:id="0">
    <w:p w14:paraId="101438D9" w14:textId="77777777" w:rsidR="00B562CA" w:rsidRDefault="00B562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036611"/>
    <w:multiLevelType w:val="hybridMultilevel"/>
    <w:tmpl w:val="E012D252"/>
    <w:lvl w:ilvl="0" w:tplc="52888D88">
      <w:start w:val="1"/>
      <w:numFmt w:val="bullet"/>
      <w:lvlText w:val="●"/>
      <w:lvlJc w:val="left"/>
      <w:pPr>
        <w:ind w:left="720" w:hanging="360"/>
      </w:pPr>
    </w:lvl>
    <w:lvl w:ilvl="1" w:tplc="0750F954">
      <w:start w:val="1"/>
      <w:numFmt w:val="bullet"/>
      <w:lvlText w:val="○"/>
      <w:lvlJc w:val="left"/>
      <w:pPr>
        <w:ind w:left="1440" w:hanging="360"/>
      </w:pPr>
    </w:lvl>
    <w:lvl w:ilvl="2" w:tplc="D5443756">
      <w:start w:val="1"/>
      <w:numFmt w:val="bullet"/>
      <w:lvlText w:val="■"/>
      <w:lvlJc w:val="left"/>
      <w:pPr>
        <w:ind w:left="2160" w:hanging="360"/>
      </w:pPr>
    </w:lvl>
    <w:lvl w:ilvl="3" w:tplc="4F501DF2">
      <w:start w:val="1"/>
      <w:numFmt w:val="bullet"/>
      <w:lvlText w:val="●"/>
      <w:lvlJc w:val="left"/>
      <w:pPr>
        <w:ind w:left="2880" w:hanging="360"/>
      </w:pPr>
    </w:lvl>
    <w:lvl w:ilvl="4" w:tplc="499EAEEC">
      <w:start w:val="1"/>
      <w:numFmt w:val="bullet"/>
      <w:lvlText w:val="○"/>
      <w:lvlJc w:val="left"/>
      <w:pPr>
        <w:ind w:left="3600" w:hanging="360"/>
      </w:pPr>
    </w:lvl>
    <w:lvl w:ilvl="5" w:tplc="302C5FC2">
      <w:start w:val="1"/>
      <w:numFmt w:val="bullet"/>
      <w:lvlText w:val="■"/>
      <w:lvlJc w:val="left"/>
      <w:pPr>
        <w:ind w:left="4320" w:hanging="360"/>
      </w:pPr>
    </w:lvl>
    <w:lvl w:ilvl="6" w:tplc="11FA25D2">
      <w:start w:val="1"/>
      <w:numFmt w:val="bullet"/>
      <w:lvlText w:val="●"/>
      <w:lvlJc w:val="left"/>
      <w:pPr>
        <w:ind w:left="5040" w:hanging="360"/>
      </w:pPr>
    </w:lvl>
    <w:lvl w:ilvl="7" w:tplc="4C66329E">
      <w:start w:val="1"/>
      <w:numFmt w:val="bullet"/>
      <w:lvlText w:val="●"/>
      <w:lvlJc w:val="left"/>
      <w:pPr>
        <w:ind w:left="5760" w:hanging="360"/>
      </w:pPr>
    </w:lvl>
    <w:lvl w:ilvl="8" w:tplc="5A4A5CB0">
      <w:start w:val="1"/>
      <w:numFmt w:val="bullet"/>
      <w:lvlText w:val="●"/>
      <w:lvlJc w:val="left"/>
      <w:pPr>
        <w:ind w:left="6480" w:hanging="360"/>
      </w:pPr>
    </w:lvl>
  </w:abstractNum>
  <w:abstractNum w:abstractNumId="1" w15:restartNumberingAfterBreak="0">
    <w:nsid w:val="4B7C24D6"/>
    <w:multiLevelType w:val="hybridMultilevel"/>
    <w:tmpl w:val="BABEB8C2"/>
    <w:lvl w:ilvl="0" w:tplc="66C2BF82">
      <w:start w:val="1"/>
      <w:numFmt w:val="bullet"/>
      <w:lvlText w:val="•"/>
      <w:lvlJc w:val="left"/>
      <w:pPr>
        <w:ind w:left="720" w:hanging="360"/>
      </w:pPr>
    </w:lvl>
    <w:lvl w:ilvl="1" w:tplc="4EBE3B42">
      <w:numFmt w:val="decimal"/>
      <w:lvlText w:val=""/>
      <w:lvlJc w:val="left"/>
    </w:lvl>
    <w:lvl w:ilvl="2" w:tplc="D6064A50">
      <w:numFmt w:val="decimal"/>
      <w:lvlText w:val=""/>
      <w:lvlJc w:val="left"/>
    </w:lvl>
    <w:lvl w:ilvl="3" w:tplc="33106950">
      <w:numFmt w:val="decimal"/>
      <w:lvlText w:val=""/>
      <w:lvlJc w:val="left"/>
    </w:lvl>
    <w:lvl w:ilvl="4" w:tplc="9CD4F3C8">
      <w:numFmt w:val="decimal"/>
      <w:lvlText w:val=""/>
      <w:lvlJc w:val="left"/>
    </w:lvl>
    <w:lvl w:ilvl="5" w:tplc="CB5294E2">
      <w:numFmt w:val="decimal"/>
      <w:lvlText w:val=""/>
      <w:lvlJc w:val="left"/>
    </w:lvl>
    <w:lvl w:ilvl="6" w:tplc="3E14E4D6">
      <w:numFmt w:val="decimal"/>
      <w:lvlText w:val=""/>
      <w:lvlJc w:val="left"/>
    </w:lvl>
    <w:lvl w:ilvl="7" w:tplc="94BED79E">
      <w:numFmt w:val="decimal"/>
      <w:lvlText w:val=""/>
      <w:lvlJc w:val="left"/>
    </w:lvl>
    <w:lvl w:ilvl="8" w:tplc="5A888802">
      <w:numFmt w:val="decimal"/>
      <w:lvlText w:val=""/>
      <w:lvlJc w:val="left"/>
    </w:lvl>
  </w:abstractNum>
  <w:num w:numId="1" w16cid:durableId="230697260">
    <w:abstractNumId w:val="0"/>
    <w:lvlOverride w:ilvl="0">
      <w:startOverride w:val="1"/>
    </w:lvlOverride>
  </w:num>
  <w:num w:numId="2" w16cid:durableId="50674731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667"/>
    <w:rsid w:val="004C163B"/>
    <w:rsid w:val="00576667"/>
    <w:rsid w:val="00641FEA"/>
    <w:rsid w:val="00B27D30"/>
    <w:rsid w:val="00B562CA"/>
    <w:rsid w:val="00E3212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198CE3A4"/>
  <w15:docId w15:val="{EBB012EF-DEEB-A644-9C04-7C5DBD1CD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rf.gov.co/webcenter/ShowProperty?nodeId=/ConexionContent/WCC_CLUSTER-193870//idcPrimaryFile&amp;revision=latestreleased" TargetMode="External"/><Relationship Id="rId18" Type="http://schemas.openxmlformats.org/officeDocument/2006/relationships/hyperlink" Target="https://www.sciencedirect.com/science/article/abs/pii/S0304393224000333" TargetMode="External"/><Relationship Id="rId26" Type="http://schemas.openxmlformats.org/officeDocument/2006/relationships/hyperlink" Target="https://www.imf.org/-/media/files/publications/wp/2017/wp17238.pdf" TargetMode="External"/><Relationship Id="rId3" Type="http://schemas.openxmlformats.org/officeDocument/2006/relationships/settings" Target="settings.xml"/><Relationship Id="rId21" Type="http://schemas.openxmlformats.org/officeDocument/2006/relationships/hyperlink" Target="https://www.banrep.gov.co/en/publications-research/labor-market-report/july-2023" TargetMode="External"/><Relationship Id="rId34" Type="http://schemas.openxmlformats.org/officeDocument/2006/relationships/fontTable" Target="fontTable.xml"/><Relationship Id="rId7" Type="http://schemas.openxmlformats.org/officeDocument/2006/relationships/hyperlink" Target="https://www.banrep.gov.co/en/node/304" TargetMode="External"/><Relationship Id="rId12" Type="http://schemas.openxmlformats.org/officeDocument/2006/relationships/hyperlink" Target="https://www.frbsf.org/wp-content/uploads/wp2023-25.pdf" TargetMode="External"/><Relationship Id="rId17" Type="http://schemas.openxmlformats.org/officeDocument/2006/relationships/hyperlink" Target="https://www.repository.fedesarrollo.org.co/handle/11445/4712" TargetMode="External"/><Relationship Id="rId25" Type="http://schemas.openxmlformats.org/officeDocument/2006/relationships/hyperlink" Target="https://www.imf.org/en/publications/cr/issues/2025/09/29/colombia-2025-article-iv-consultation-press-release-staff-report-and-statement-by-the-570803"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cbo.gov/publication/62105" TargetMode="External"/><Relationship Id="rId20" Type="http://schemas.openxmlformats.org/officeDocument/2006/relationships/hyperlink" Target="https://fred.stlouisfed.org/series/NROU" TargetMode="External"/><Relationship Id="rId29" Type="http://schemas.openxmlformats.org/officeDocument/2006/relationships/hyperlink" Target="https://revistas.unilibre.edu.co/index.php/entramado/article/view/612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ber.org/system/files/working_papers/w31197/w31197.pdf" TargetMode="External"/><Relationship Id="rId24" Type="http://schemas.openxmlformats.org/officeDocument/2006/relationships/hyperlink" Target="https://www.imf.org/en/Publications/WP/Issues/2024/01/12/The-Shifting-and-Steepening-of-Phillips-Curves-During-the-Pandemic-Recovery-International-543712" TargetMode="External"/><Relationship Id="rId32" Type="http://schemas.openxmlformats.org/officeDocument/2006/relationships/hyperlink" Target="https://repositorio.banrep.gov.co/items/3629d2c5-1c50-43d5-9a64-ee6c2a5cdefa" TargetMode="External"/><Relationship Id="rId5" Type="http://schemas.openxmlformats.org/officeDocument/2006/relationships/footnotes" Target="footnotes.xml"/><Relationship Id="rId15" Type="http://schemas.openxmlformats.org/officeDocument/2006/relationships/hyperlink" Target="https://www.carf.gov.co/documents/d/guest/informe-al-congreso-abril-2026" TargetMode="External"/><Relationship Id="rId23" Type="http://schemas.openxmlformats.org/officeDocument/2006/relationships/hyperlink" Target="https://ideas.repec.org/p/bdr/borrec/1249.html" TargetMode="External"/><Relationship Id="rId28" Type="http://schemas.openxmlformats.org/officeDocument/2006/relationships/hyperlink" Target="https://www.oecd.org/en/publications/oecd-economic-surveys-colombia-2024_a1a22cd6-en.html" TargetMode="External"/><Relationship Id="rId10" Type="http://schemas.openxmlformats.org/officeDocument/2006/relationships/hyperlink" Target="https://www.banrep.gov.co/en/publications-research/monetary-policy-report/january-2026" TargetMode="External"/><Relationship Id="rId19" Type="http://schemas.openxmlformats.org/officeDocument/2006/relationships/hyperlink" Target="https://www.bis.org/publ/work744.pdf" TargetMode="External"/><Relationship Id="rId31" Type="http://schemas.openxmlformats.org/officeDocument/2006/relationships/hyperlink" Target="https://www.cbo.gov/publication/53558" TargetMode="External"/><Relationship Id="rId4" Type="http://schemas.openxmlformats.org/officeDocument/2006/relationships/webSettings" Target="webSettings.xml"/><Relationship Id="rId9" Type="http://schemas.openxmlformats.org/officeDocument/2006/relationships/hyperlink" Target="https://www.banrep.gov.co/es/recuadro-1-nuevas-estimaciones-del-pib-potencial-tendencial-y-brecha-del-producto-colombia" TargetMode="External"/><Relationship Id="rId14" Type="http://schemas.openxmlformats.org/officeDocument/2006/relationships/hyperlink" Target="https://www.carf.gov.co/webcenter/ShowProperty?nodeId=/ConexionContent/WCC_CLUSTER-219454//idcPrimaryFile&amp;revision=latestreleased" TargetMode="External"/><Relationship Id="rId22" Type="http://schemas.openxmlformats.org/officeDocument/2006/relationships/hyperlink" Target="https://www.banrep.gov.co/en/4gm-new-model-monetary-policy-analysis-colombia" TargetMode="External"/><Relationship Id="rId27" Type="http://schemas.openxmlformats.org/officeDocument/2006/relationships/hyperlink" Target="https://www.minhacienda.gov.co/documents/20119/2284557/MFMP+2025.pdf/9e63286c-f658-7a76-29ad-2512ead562e3?t=1752090754929" TargetMode="External"/><Relationship Id="rId30" Type="http://schemas.openxmlformats.org/officeDocument/2006/relationships/hyperlink" Target="https://www.banrep.gov.co/en/publications-research/working-papers-economics/wage-dynamics-unemployment-inflation" TargetMode="External"/><Relationship Id="rId35" Type="http://schemas.openxmlformats.org/officeDocument/2006/relationships/theme" Target="theme/theme1.xml"/><Relationship Id="rId8" Type="http://schemas.openxmlformats.org/officeDocument/2006/relationships/hyperlink" Target="https://www.imf.org/-/media/files/publications/wp/2025/english/wpiea2025094-print-pdf.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5428</Words>
  <Characters>29856</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Santiago Tupaz Ramirez</cp:lastModifiedBy>
  <cp:revision>2</cp:revision>
  <dcterms:created xsi:type="dcterms:W3CDTF">2026-07-16T17:40:00Z</dcterms:created>
  <dcterms:modified xsi:type="dcterms:W3CDTF">2026-07-17T21:08:00Z</dcterms:modified>
</cp:coreProperties>
</file>