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KHCC set covers </w:t>
      </w:r>
      <w:r>
        <w:rPr>
          <w:b/>
          <w:bCs/>
        </w:rPr>
        <w:t xml:space="preserve">Breast, Colon, Rectal, Thyroid, Gastric and Pancreatic</w:t>
      </w:r>
      <w:r>
        <w:t xml:space="preserve">.</w:t>
      </w:r>
    </w:p>
    <w:p>
      <w:pPr>
        <w:spacing w:after="130" w:line="276"/>
      </w:pPr>
      <w:r>
        <w:rPr>
          <w:b/>
          <w:bCs/>
        </w:rPr>
        <w:t xml:space="preserve">Sarcoma, hepatobiliary other than pancreatic, and oesophageal have no KHCC guideline</w:t>
      </w:r>
      <w:r>
        <w:t xml:space="preserve"> — NCCN is the agreed source for those, and the PDFs are still to be supplied and indexed.</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Before the fix</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After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3360"/>
            <w:shd w:fill="FFFFFF" w:val="clear"/>
            <w:tcMar>
              <w:top w:type="dxa" w:w="70"/>
              <w:left w:type="dxa" w:w="110"/>
              <w:bottom w:type="dxa" w:w="70"/>
              <w:right w:type="dxa" w:w="110"/>
            </w:tcMar>
          </w:tcPr>
          <w:p>
            <w:pPr>
              <w:spacing w:after="0" w:line="250"/>
            </w:pPr>
            <w:r>
              <w:rPr>
                <w:sz w:val="18"/>
                <w:szCs w:val="18"/>
              </w:rPr>
              <w:t xml:space="preserve">11/12 (91%)</w:t>
            </w:r>
          </w:p>
        </w:tc>
        <w:tc>
          <w:tcPr>
            <w:tcW w:type="dxa" w:w="336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11/12 (91%)</w:t>
            </w:r>
          </w:p>
        </w:tc>
        <w:tc>
          <w:tcPr>
            <w:tcW w:type="dxa" w:w="336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3360"/>
            <w:shd w:fill="FFFFFF" w:val="clear"/>
            <w:tcMar>
              <w:top w:type="dxa" w:w="70"/>
              <w:left w:type="dxa" w:w="110"/>
              <w:bottom w:type="dxa" w:w="70"/>
              <w:right w:type="dxa" w:w="110"/>
            </w:tcMar>
          </w:tcPr>
          <w:p>
            <w:pPr>
              <w:spacing w:after="0" w:line="250"/>
            </w:pPr>
            <w:r>
              <w:rPr>
                <w:sz w:val="18"/>
                <w:szCs w:val="18"/>
              </w:rPr>
              <w:t xml:space="preserve">8/9 (88%)</w:t>
            </w:r>
          </w:p>
        </w:tc>
        <w:tc>
          <w:tcPr>
            <w:tcW w:type="dxa" w:w="3360"/>
            <w:shd w:fill="FFFFFF" w:val="clear"/>
            <w:tcMar>
              <w:top w:type="dxa" w:w="70"/>
              <w:left w:type="dxa" w:w="110"/>
              <w:bottom w:type="dxa" w:w="70"/>
              <w:right w:type="dxa" w:w="110"/>
            </w:tcMar>
          </w:tcPr>
          <w:p>
            <w:pPr>
              <w:spacing w:after="0" w:line="250"/>
            </w:pPr>
            <w:r>
              <w:rPr>
                <w:b/>
                <w:bCs/>
                <w:sz w:val="18"/>
                <w:szCs w:val="18"/>
              </w:rPr>
              <w:t xml:space="preserve">8/8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3360"/>
            <w:shd w:fill="FFFFFF" w:val="clear"/>
            <w:tcMar>
              <w:top w:type="dxa" w:w="70"/>
              <w:left w:type="dxa" w:w="110"/>
              <w:bottom w:type="dxa" w:w="70"/>
              <w:right w:type="dxa" w:w="110"/>
            </w:tcMar>
          </w:tcPr>
          <w:p>
            <w:pPr>
              <w:spacing w:after="0" w:line="250"/>
            </w:pPr>
            <w:r>
              <w:rPr>
                <w:sz w:val="18"/>
                <w:szCs w:val="18"/>
              </w:rPr>
              <w:t xml:space="preserve">7/9 (77%)</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rPr>
          <w:b/>
          <w:bCs/>
        </w:rPr>
        <w:t xml:space="preserve">The judge metric did not improve from the retrieval fix, and that is the honest result.</w:t>
      </w:r>
      <w:r>
        <w:t xml:space="preserve"> Retrieval addressed </w:t>
      </w:r>
      <w:r>
        <w:rPr>
          <w:i/>
          <w:iCs/>
        </w:rPr>
        <w:t xml:space="preserve">grounding</w:t>
      </w:r>
      <w:r>
        <w:t xml:space="preserve">, not </w:t>
      </w:r>
      <w:r>
        <w:rPr>
          <w:i/>
          <w:iCs/>
        </w:rPr>
        <w:t xml:space="preserve">clinical judgement within a correctly retrieved guideline</w:t>
      </w:r>
      <w:r>
        <w:t xml:space="preserve">.</w:t>
      </w:r>
    </w:p>
    <w:p>
      <w:pPr>
        <w:pStyle w:val="Heading3"/>
        <w:keepNext/>
        <w:spacing w:after="130" w:before="260"/>
      </w:pPr>
      <w:r>
        <w:t xml:space="preserve">Agentic RAG — grade-and-retry</w:t>
      </w:r>
    </w:p>
    <w:p>
      <w:pPr>
        <w:spacing w:after="130" w:line="276"/>
      </w:pPr>
      <w:r>
        <w:t xml:space="preserve">The Session 6 self-check (</w:t>
      </w:r>
      <w:r>
        <w:rPr>
          <w:rFonts w:ascii="Consolas" w:cs="Consolas" w:eastAsia="Consolas" w:hAnsi="Consolas"/>
          <w:color w:val="9A281B"/>
          <w:sz w:val="18"/>
          <w:szCs w:val="18"/>
        </w:rPr>
        <w:t xml:space="preserve">ai/rag/agentic_rag.py</w:t>
      </w:r>
      <w:r>
        <w:t xml:space="preserve">) is wired into decision suggestions: the draft is graded against its own passages — is every claim supported? — and rewritten with the grader's objection if not, up to twice.</w:t>
      </w:r>
    </w:p>
    <w:p>
      <w:pPr>
        <w:spacing w:after="130" w:line="276"/>
      </w:pPr>
      <w:r>
        <w:t xml:space="preserve">The </w:t>
      </w:r>
      <w:r>
        <w:rPr>
          <w:b/>
          <w:bCs/>
        </w:rPr>
        <w:t xml:space="preserve">grader</w:t>
      </w:r>
      <w:r>
        <w:t xml:space="preserve"> is reused as-is. The </w:t>
      </w:r>
      <w:r>
        <w:rPr>
          <w:b/>
          <w:bCs/>
        </w:rPr>
        <w:t xml:space="preserve">retry</w:t>
      </w:r>
      <w:r>
        <w:t xml:space="preserve"> is written here rather than reused, because the Session 6 version rewrites against that module's generic prompt; reusing it would throw away the rules that stop this system proposing a treatment the patient has already had.</w:t>
      </w:r>
    </w:p>
    <w:p>
      <w:pPr>
        <w:spacing w:after="130" w:line="276"/>
      </w:pPr>
      <w:r>
        <w:t xml:space="preserve">Measured with </w:t>
      </w:r>
      <w:r>
        <w:rPr>
          <w:rFonts w:ascii="Consolas" w:cs="Consolas" w:eastAsia="Consolas" w:hAnsi="Consolas"/>
          <w:color w:val="9A281B"/>
          <w:sz w:val="18"/>
          <w:szCs w:val="18"/>
        </w:rPr>
        <w:t xml:space="preserve">eval_guidelines --agentic --judge</w:t>
      </w:r>
      <w:r>
        <w:t xml:space="preserve"> against the same 12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Single-shot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Grade-and-retry</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c>
          <w:tcPr>
            <w:tcW w:type="dxa" w:w="3360"/>
            <w:shd w:fill="FFFFFF" w:val="clear"/>
            <w:tcMar>
              <w:top w:type="dxa" w:w="70"/>
              <w:left w:type="dxa" w:w="110"/>
              <w:bottom w:type="dxa" w:w="70"/>
              <w:right w:type="dxa" w:w="110"/>
            </w:tcMar>
          </w:tcPr>
          <w:p>
            <w:pPr>
              <w:spacing w:after="0" w:line="250"/>
            </w:pPr>
            <w:r>
              <w:rPr>
                <w:b/>
                <w:bCs/>
                <w:sz w:val="18"/>
                <w:szCs w:val="18"/>
              </w:rPr>
              <w:t xml:space="preserve">7/8 (87%)</w:t>
            </w:r>
          </w:p>
        </w:tc>
      </w:tr>
      <w:tr>
        <w:tc>
          <w:tcPr>
            <w:tcW w:type="dxa" w:w="3360"/>
            <w:shd w:fill="FFFFFF" w:val="clear"/>
            <w:tcMar>
              <w:top w:type="dxa" w:w="70"/>
              <w:left w:type="dxa" w:w="110"/>
              <w:bottom w:type="dxa" w:w="70"/>
              <w:right w:type="dxa" w:w="110"/>
            </w:tcMar>
          </w:tcPr>
          <w:p>
            <w:pPr>
              <w:spacing w:after="0" w:line="250"/>
            </w:pPr>
            <w:r>
              <w:rPr>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5/8 (62%)</w:t>
            </w:r>
          </w:p>
        </w:tc>
      </w:tr>
      <w:tr>
        <w:tc>
          <w:tcPr>
            <w:tcW w:type="dxa" w:w="3360"/>
            <w:shd w:fill="FFFFFF" w:val="clear"/>
            <w:tcMar>
              <w:top w:type="dxa" w:w="70"/>
              <w:left w:type="dxa" w:w="110"/>
              <w:bottom w:type="dxa" w:w="70"/>
              <w:right w:type="dxa" w:w="110"/>
            </w:tcMar>
          </w:tcPr>
          <w:p>
            <w:pPr>
              <w:spacing w:after="0" w:line="250"/>
            </w:pPr>
            <w:r>
              <w:rPr>
                <w:sz w:val="18"/>
                <w:szCs w:val="18"/>
              </w:rPr>
              <w:t xml:space="preserve">Answers rewritten</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4 of 8</w:t>
            </w:r>
          </w:p>
        </w:tc>
      </w:tr>
    </w:tbl>
    <w:p>
      <w:pPr>
        <w:spacing w:after="160"/>
      </w:pPr>
      <w:r>
        <w:t xml:space="preserve"/>
      </w:r>
    </w:p>
    <w:p>
      <w:pPr>
        <w:spacing w:after="130" w:line="276"/>
      </w:pPr>
      <w:r>
        <w:rPr>
          <w:b/>
          <w:bCs/>
        </w:rPr>
        <w:t xml:space="preserve">What it bought.</w:t>
      </w:r>
      <w:r>
        <w:t xml:space="preserve"> One case genuinely improved: the patient seven of eight cycles into NACT was previously given a plan that assumed the course was finished; the rewrite fixed it. The deterministic metrics are unchanged, as expected — grading cannot affect what was retrieved.</w:t>
      </w:r>
    </w:p>
    <w:p>
      <w:pPr>
        <w:spacing w:after="130" w:line="276"/>
      </w:pPr>
      <w:r>
        <w:rPr>
          <w:b/>
          <w:bCs/>
        </w:rPr>
        <w:t xml:space="preserve">What it cost, and what it did not fix.</w:t>
      </w:r>
      <w:r>
        <w:t xml:space="preserve"> Roughly two to three times the API calls on a decision suggestion. And the ER 95% / HER2-negative case still leads with adjuvant chemotherapy where endocrine therapy is standard — the grader</w:t>
      </w:r>
    </w:p>
    <w:p>
      <w:pPr>
        <w:spacing w:after="130" w:line="276"/>
      </w:pPr>
      <w:r>
        <w:rPr>
          <w:i/>
          <w:iCs/>
        </w:rPr>
        <w:t xml:space="preserve">flagged</w:t>
      </w:r>
      <w:r>
        <w:t xml:space="preserve"> it and two rewrites did not fix it, because the grader can only check claims against the retrieved passages; it cannot supply knowledge that was never retrieved.</w:t>
      </w:r>
    </w:p>
    <w:p>
      <w:pPr>
        <w:spacing w:after="130" w:line="276"/>
      </w:pPr>
      <w:r>
        <w:rPr>
          <w:b/>
          <w:bCs/>
        </w:rPr>
        <w:t xml:space="preserve">The most useful output is the 62%.</w:t>
      </w:r>
      <w:r>
        <w:t xml:space="preserve"> Three of eight answers are returned while the grader still objects. Rather than hide that, the page shows </w:t>
      </w:r>
      <w:r>
        <w:rPr>
          <w:i/>
          <w:iCs/>
        </w:rPr>
        <w:t xml:space="preserve">self-check still objects</w:t>
      </w:r>
      <w:r>
        <w:t xml:space="preserve"> with the objection, so a clinician knows which suggestions are the weakly-grounded ones. An answer the self-check cannot fully ground is exactly the one to read hardest.</w:t>
      </w:r>
    </w:p>
    <w:p>
      <w:pPr>
        <w:spacing w:after="130" w:line="276"/>
      </w:pPr>
      <w:r>
        <w:t xml:space="preserve">Workup suggestions stay single-shot: a list of investigation names gives the grader little to catch, and each round costs two more calls.</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p>
      <w:pPr>
        <w:spacing w:after="130" w:line="276"/>
      </w:pPr>
      <w:r>
        <w:rPr>
          <w:b/>
          <w:bCs/>
        </w:rPr>
        <w:t xml:space="preserve">Tuqa Al-Ghazawi owns every area below</w:t>
      </w:r>
      <w:r>
        <w:t xml:space="preserve">, and is the person to contact about any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Owner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sign-off — whether a suggestion is safe to show</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Incident triage (§14.6)</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bl>
    <w:p>
      <w:pPr>
        <w:spacing w:after="160"/>
      </w:pPr>
      <w:r>
        <w:t xml:space="preserve"/>
      </w:r>
    </w:p>
    <w:p>
      <w:pPr>
        <w:pBdr>
          <w:left w:val="single" w:color="028090" w:sz="18" w:space="12"/>
        </w:pBdr>
        <w:shd w:fill="F4F8F7" w:val="clear"/>
        <w:spacing w:after="0" w:before="180" w:line="276"/>
        <w:ind w:left="340"/>
      </w:pPr>
      <w:r>
        <w:rPr>
          <w:b/>
          <w:bCs/>
        </w:rPr>
        <w:t xml:space="preserve">Single-owner risk, stated plainly.</w:t>
      </w:r>
      <w:r>
        <w:t xml:space="preserve"> One person owning all five is correct for a prototype and wrong for anything more. Two areas in particular have to be handed over before this tool is used beyond a demonstration:</w:t>
      </w:r>
    </w:p>
    <w:p>
      <w:pPr>
        <w:pBdr>
          <w:left w:val="single" w:color="028090" w:sz="18" w:space="12"/>
        </w:pBdr>
        <w:shd w:fill="F4F8F7" w:val="clear"/>
        <w:spacing w:after="0" w:before="0" w:line="276"/>
        <w:ind w:left="340"/>
      </w:pPr>
      <w:r>
        <w:t xml:space="preserve">- </w:t>
      </w:r>
      <w:r>
        <w:rPr>
          <w:b/>
          <w:bCs/>
        </w:rPr>
        <w:t xml:space="preserve">Departmental accountability</w:t>
      </w:r>
      <w:r>
        <w:t xml:space="preserve"> — a consultant or the chairman answerable for the tool being used at all. Today the author both builds it and judges whether it is safe, which is not a separable review. - </w:t>
      </w:r>
      <w:r>
        <w:rPr>
          <w:b/>
          <w:bCs/>
        </w:rPr>
        <w:t xml:space="preserve">Information governance</w:t>
      </w:r>
      <w:r>
        <w:t xml:space="preserve"> — any move toward real patient data needs KHCC IG involvement, which has not been sought because the tool has never held real data.</w:t>
      </w:r>
    </w:p>
    <w:p>
      <w:pPr>
        <w:pBdr>
          <w:left w:val="single" w:color="028090" w:sz="18" w:space="12"/>
        </w:pBdr>
        <w:shd w:fill="F4F8F7" w:val="clear"/>
        <w:spacing w:after="180" w:before="0" w:line="276"/>
        <w:ind w:left="340"/>
      </w:pPr>
      <w:r>
        <w:t xml:space="preserve">Neither is a gap in the prototype. Both are prerequisites for leaving prototype status, and are listed in §17.</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Status: configured and verified, not yet deployed.</w:t>
      </w:r>
      <w:r>
        <w:t xml:space="preserve"> Nothing has been provisioned on Render, so there is no live URL. The blueprint deliberately does not carry </w:t>
      </w:r>
      <w:r>
        <w:rPr>
          <w:rFonts w:ascii="Consolas" w:cs="Consolas" w:eastAsia="Consolas" w:hAnsi="Consolas"/>
          <w:color w:val="9A281B"/>
          <w:sz w:val="18"/>
          <w:szCs w:val="18"/>
        </w:rPr>
        <w:t xml:space="preserve">OPENAI_API_KEY</w:t>
      </w:r>
      <w:r>
        <w:t xml:space="preserve"> — that is set in the Render dashboard, and without it the AI features report "unavailable" while the rest of the pathway works.</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oesophageal and sarcoma. The ingestion path is built and the label matching handles NCCN's own titles; the three PDFs still need to be downloaded and indexed. Until then those diseases are correctly refused rather than answered from a neighbouring cancer.</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Style w:val="ListParagraph"/>
        <w:numPr>
          <w:ilvl w:val="0"/>
          <w:numId w:val="2"/>
        </w:numPr>
        <w:spacing w:after="80" w:line="276"/>
      </w:pPr>
      <w:r>
        <w:t xml:space="preserve">☐ </w:t>
      </w:r>
      <w:r>
        <w:rPr>
          <w:b/>
          <w:bCs/>
        </w:rPr>
        <w:t xml:space="preserve">A second owner.</w:t>
      </w:r>
      <w:r>
        <w:t xml:space="preserve"> The author currently owns clinical content, clinical sign-off, the guideline index, the code and incident triage (§14.5). A consultant or the chairman must take departmental accountability, and KHCC IG must be engaged, before the tool is used beyond a demonstration.</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spacing w:after="130" w:line="276"/>
      </w:pPr>
      <w:r>
        <w:t xml:space="preserve">Demo logins, password </w:t>
      </w:r>
      <w:r>
        <w:rPr>
          <w:rFonts w:ascii="Consolas" w:cs="Consolas" w:eastAsia="Consolas" w:hAnsi="Consolas"/>
          <w:color w:val="9A281B"/>
          <w:sz w:val="18"/>
          <w:szCs w:val="18"/>
        </w:rPr>
        <w:t xml:space="preserve">demo1234</w:t>
      </w:r>
      <w:r>
        <w:t xml:space="preserve">: </w:t>
      </w:r>
      <w:r>
        <w:rPr>
          <w:rFonts w:ascii="Consolas" w:cs="Consolas" w:eastAsia="Consolas" w:hAnsi="Consolas"/>
          <w:color w:val="9A281B"/>
          <w:sz w:val="18"/>
          <w:szCs w:val="18"/>
        </w:rPr>
        <w:t xml:space="preserve">prep1</w:t>
      </w:r>
      <w:r>
        <w:t xml:space="preserve"> (prep coordinator), </w:t>
      </w:r>
      <w:r>
        <w:rPr>
          <w:rFonts w:ascii="Consolas" w:cs="Consolas" w:eastAsia="Consolas" w:hAnsi="Consolas"/>
          <w:color w:val="9A281B"/>
          <w:sz w:val="18"/>
          <w:szCs w:val="18"/>
        </w:rPr>
        <w:t xml:space="preserve">chair1</w:t>
      </w:r>
      <w:r>
        <w:t xml:space="preserve"> (chairman), </w:t>
      </w:r>
      <w:r>
        <w:rPr>
          <w:rFonts w:ascii="Consolas" w:cs="Consolas" w:eastAsia="Consolas" w:hAnsi="Consolas"/>
          <w:color w:val="9A281B"/>
          <w:sz w:val="18"/>
          <w:szCs w:val="18"/>
        </w:rPr>
        <w:t xml:space="preserve">coord2</w:t>
      </w:r>
      <w:r>
        <w:t xml:space="preserve"> (team coordinator), </w:t>
      </w:r>
      <w:r>
        <w:rPr>
          <w:rFonts w:ascii="Consolas" w:cs="Consolas" w:eastAsia="Consolas" w:hAnsi="Consolas"/>
          <w:color w:val="9A281B"/>
          <w:sz w:val="18"/>
          <w:szCs w:val="18"/>
        </w:rPr>
        <w:t xml:space="preserve">cons2</w:t>
      </w:r>
      <w:r>
        <w:t xml:space="preserve"> (consultant), </w:t>
      </w:r>
      <w:r>
        <w:rPr>
          <w:rFonts w:ascii="Consolas" w:cs="Consolas" w:eastAsia="Consolas" w:hAnsi="Consolas"/>
          <w:color w:val="9A281B"/>
          <w:sz w:val="18"/>
          <w:szCs w:val="18"/>
        </w:rPr>
        <w:t xml:space="preserve">fellow1</w:t>
      </w:r>
      <w:r>
        <w:t xml:space="preserve"> (fellow), </w:t>
      </w:r>
      <w:r>
        <w:rPr>
          <w:rFonts w:ascii="Consolas" w:cs="Consolas" w:eastAsia="Consolas" w:hAnsi="Consolas"/>
          <w:color w:val="9A281B"/>
          <w:sz w:val="18"/>
          <w:szCs w:val="18"/>
        </w:rPr>
        <w:t xml:space="preserve">mdc1</w:t>
      </w:r>
      <w:r>
        <w:t xml:space="preserve"> (MDC coordinator).</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2026-09-05T12:37:09.088Z</dcterms:created>
  <dcterms:modified xsi:type="dcterms:W3CDTF">2026-09-05T12:37:09.089Z</dcterms:modified>
</cp:coreProperties>
</file>

<file path=docProps/custom.xml><?xml version="1.0" encoding="utf-8"?>
<Properties xmlns="http://schemas.openxmlformats.org/officeDocument/2006/custom-properties" xmlns:vt="http://schemas.openxmlformats.org/officeDocument/2006/docPropsVTypes"/>
</file>