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Автономная некоммерческая организация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дополнительного профессионального образования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«Академия Информационных Технологий»</w:t>
      </w:r>
    </w:p>
    <w:p>
      <w:pPr>
        <w:spacing w:before="0" w:after="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___________________________________________</w:t>
      </w:r>
    </w:p>
    <w:p>
      <w:pPr>
        <w:spacing w:before="0" w:after="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0"/>
        </w:rPr>
        <w:t>ОГРН: 1230600003457, ИНН/КПП: 0600010064/060001001</w:t>
      </w:r>
    </w:p>
    <w:p>
      <w:pPr>
        <w:spacing w:before="0" w:after="40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0"/>
        </w:rPr>
        <w:t>Российская Федерация, 386001, Республика Ингушетия, г. Магас, ул. Н.С. Хрущева, д. 10</w:t>
      </w:r>
    </w:p>
    <w:p>
      <w:pPr>
        <w:spacing w:before="0" w:after="6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/>
        </w:rPr>
        <w:t>УТВЕРЖДЕНО</w:t>
      </w:r>
    </w:p>
    <w:p>
      <w:pPr>
        <w:spacing w:before="0" w:after="60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sz w:val="22"/>
        </w:rPr>
        <w:t>Приказом № ____-ОБР от «___» __________ 20__ г.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ДОПОЛНИТЕЛЬНАЯ ПРОФЕССИОНАЛЬНАЯ ПРОГРАММА</w:t>
      </w:r>
    </w:p>
    <w:p>
      <w:pPr>
        <w:spacing w:before="0" w:after="4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ПОВЫШЕНИЯ КВАЛИФИКАЦИИ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6"/>
        </w:rPr>
        <w:t>«Основы кибербезопасности»</w:t>
      </w:r>
    </w:p>
    <w:p>
      <w:pPr>
        <w:spacing w:before="4600" w:after="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Магас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2026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1. ОБЩАЯ ХАРАКТЕРИСТИКА ДОПОЛНИТЕЛЬНОЙ ПРОФЕССИОНАЛЬНОЙ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1.1. Аннотация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Программа «Основы кибербезопасности» адресована: студенты колледжа. Слушатели осваивают инструменты и приёмы, которые сразу применяют в своей работе, выполняют практические задания на материале своей сферы и завершают обучение итоговой работой.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1.2. Цель реализации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Сформировать у студентов колледжа начальные компетенции в области защиты информации: настройке средств защиты, мониторинге событий безопасности и разборе инцидентов.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Программа направлена на совершенствование профессиональных компетенций, необходимых для выполнения трудовых функций: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A/01.5 Техническое обслуживание программно-аппаратных средств защиты информации в операционных системах (профессиональный стандарт 06.032)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A/02.5 Техническое обслуживание программно-аппаратных средств защиты информации в компьютерных сетях (профессиональный стандарт 06.032)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1.3. Планируемые результаты обучения</w:t>
      </w:r>
    </w:p>
    <w:tbl>
      <w:tblPr>
        <w:tblLook w:firstColumn="1" w:firstRow="1" w:lastColumn="0" w:lastRow="0" w:noHBand="0" w:noVBand="1" w:val="04A0"/>
        <w:tblW w:w="9770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750"/>
        <w:gridCol w:w="1960"/>
        <w:gridCol w:w="2020"/>
        <w:gridCol w:w="2020"/>
        <w:gridCol w:w="2020"/>
      </w:tblGrid>
      <w:tr>
        <w:trPr>
          <w:tblHeader/>
        </w:trPr>
        <w:tc>
          <w:tcPr>
            <w:tcW w:type="dxa" w:w="17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Виды деятельности</w:t>
            </w:r>
          </w:p>
        </w:tc>
        <w:tc>
          <w:tcPr>
            <w:tcW w:type="dxa" w:w="196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Профессиональные компетенции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Практический опыт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Умения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Знания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информации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Настраивать базовые средства защиты информации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приёмами проверки настроек защиты на учебном стенде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настраивать базовые параметры защиты сети и операционной системы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назначение межсетевых экранов, средств защиты от вредоносного кода и систем обнаружения вторжений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информации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Выявлять и разбирать инциденты информационной безопасности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навыком разбора простого инцидента по шагам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находить признаки атаки в журналах событий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типовые инциденты безопасности и порядок реагирования на них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информации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Применять требования к защите информации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навыком оформления результатов проверки защищённости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оценивать угрозы для простой информационной системы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основные требования к защите информации в организации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1.4. Программа разработана на основе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Профессиональный стандарт 06.032 «Специалист по безопасности компьютерных систем и сетей», приказ Минтруда России от 14.09.2022 № 533н (действует с 01.03.2023 до 01.03.2029)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Федеральный закон от 29.12.2012 № 273-ФЗ «Об образовании в Российской Федерации»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Приказ Минобрнауки России от 24.03.2025 № 266 «Об утверждении Порядка организации и осуществления образовательной деятельности по дополнительным профессиональным программам»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1.5. Перечень профессиональных компетенций в рамках имеющейся квалификации, качественное изменение которых осуществляется в результате обучения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ПК-1. Настраивать базовые средства защиты информации (трудовые функции: A/01.5)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ПК-2. Выявлять и разбирать инциденты информационной безопасности (трудовые функции: A/02.5)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ПК-3. Применять требования к защите информации (трудовые функции: A/01.5)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1.6. Требования к слушателям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 освоению программы допускаются лица, имеющие среднее профессиональное и (или) высшее образование, а также лица, получающие среднее профессиональное и (или) высшее образование.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 обучению допускаются: студенты колледжа. Специальной подготовки не требуется сверх указанной в программе.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Категория слушателей: </w:t>
      </w:r>
      <w:r>
        <w:rPr>
          <w:rFonts w:ascii="Times New Roman" w:hAnsi="Times New Roman" w:eastAsia="Times New Roman" w:cs="Times New Roman"/>
          <w:b w:val="0"/>
        </w:rPr>
        <w:t>студенты колледжа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Входной уровень: </w:t>
      </w:r>
      <w:r>
        <w:rPr>
          <w:rFonts w:ascii="Times New Roman" w:hAnsi="Times New Roman" w:eastAsia="Times New Roman" w:cs="Times New Roman"/>
          <w:b w:val="0"/>
        </w:rPr>
        <w:t>Студенты 3 курса специальности «Информационные системы и программирование», знают основы сетей и Linux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1.7. Форма обучения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обучения — очная.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Обучение проходит по расписанию: теория сразу закрепляется практикой, на каждом занятии слушатели выполняют задание и получают обратную связь преподавателя.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1.8. Объём программы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Объём программы — 72 часа, в том числе: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контактная работа (лекции, практические и лабораторные занятия) — 63 часа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самостоятельная работа слушателей — 7 часов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итоговая аттестация — 2 часа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срок обучения — 4 нед. (18 учебных дн.), не более 6 часов в день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1.9. Выдаваемый документ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Удостоверение о повышении квалификации установленного образца. Документ выдаётся лицам, успешно освоившим программу и прошедшим итоговую аттестацию.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2. СОДЕРЖАНИЕ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2.1. Учебный план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544"/>
        <w:gridCol w:w="1947"/>
        <w:gridCol w:w="1939"/>
        <w:gridCol w:w="841"/>
        <w:gridCol w:w="842"/>
        <w:gridCol w:w="841"/>
        <w:gridCol w:w="842"/>
        <w:gridCol w:w="1842"/>
      </w:tblGrid>
      <w:tr>
        <w:trPr>
          <w:tblHeader/>
        </w:trPr>
        <w:tc>
          <w:tcPr>
            <w:tcW w:type="dxa" w:w="544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№ п/п</w:t>
            </w:r>
          </w:p>
        </w:tc>
        <w:tc>
          <w:tcPr>
            <w:tcW w:type="dxa" w:w="194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разделов программы</w:t>
            </w:r>
          </w:p>
        </w:tc>
        <w:tc>
          <w:tcPr>
            <w:tcW w:type="dxa" w:w="1939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Трудоёмкость, всего (час.)</w:t>
            </w:r>
          </w:p>
        </w:tc>
        <w:tc>
          <w:tcPr>
            <w:tcW w:type="dxa" w:w="841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</w:t>
            </w:r>
          </w:p>
        </w:tc>
        <w:tc>
          <w:tcPr>
            <w:tcW w:type="dxa" w:w="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</w:t>
            </w:r>
          </w:p>
        </w:tc>
        <w:tc>
          <w:tcPr>
            <w:tcW w:type="dxa" w:w="841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</w:t>
            </w:r>
          </w:p>
        </w:tc>
        <w:tc>
          <w:tcPr>
            <w:tcW w:type="dxa" w:w="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(час.)</w:t>
            </w:r>
          </w:p>
        </w:tc>
        <w:tc>
          <w:tcPr>
            <w:tcW w:type="dxa" w:w="1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Форма аттестации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Основы информационной безопасности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компьютерных сетей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операционных систем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Мониторинг событий и инциденты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Практикум на учебном стенде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лабораторная работа</w:t>
            </w:r>
          </w:p>
        </w:tc>
      </w:tr>
      <w:tr>
        <w:tc>
          <w:tcPr>
            <w:tcW w:type="dxa" w:w="2491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Экзамен с практическим заданием</w:t>
            </w:r>
          </w:p>
        </w:tc>
      </w:tr>
      <w:tr>
        <w:tc>
          <w:tcPr>
            <w:tcW w:type="dxa" w:w="2491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72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17,5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29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16,5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2.2. Учебно-тематический план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640"/>
        <w:gridCol w:w="2008"/>
        <w:gridCol w:w="1748"/>
        <w:gridCol w:w="850"/>
        <w:gridCol w:w="850"/>
        <w:gridCol w:w="850"/>
        <w:gridCol w:w="850"/>
        <w:gridCol w:w="1842"/>
      </w:tblGrid>
      <w:tr>
        <w:trPr>
          <w:tblHeader/>
        </w:trPr>
        <w:tc>
          <w:tcPr>
            <w:tcW w:type="dxa" w:w="64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№ п/п</w:t>
            </w:r>
          </w:p>
        </w:tc>
        <w:tc>
          <w:tcPr>
            <w:tcW w:type="dxa" w:w="200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разделов, тем программы</w:t>
            </w:r>
          </w:p>
        </w:tc>
        <w:tc>
          <w:tcPr>
            <w:tcW w:type="dxa" w:w="174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Трудоёмкость, всего (час.)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(час.)</w:t>
            </w:r>
          </w:p>
        </w:tc>
        <w:tc>
          <w:tcPr>
            <w:tcW w:type="dxa" w:w="1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Форма контроля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Основы информационной безопасности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Угрозы и уязвимости информационных систем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опрос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Требования к защите информации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Оценка рисков для информационной системы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Защита компьютерных сетей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16,5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Межсетевые экраны и сегментация сети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лабораторная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Защищённые протоколы и удалённый доступ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Обнаружение вторжений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лабораторная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Защита операционных систем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Безопасная настройка Linux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лабораторная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Безопасная настройка Windows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лабораторная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Учётные записи и разграничение доступа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Мониторинг событий и инциденты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16,5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Журналы событий и их анализ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лабораторная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Системы мониторинга событий безопасности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Реагирование на инциденты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кейс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5.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Практикум на учебном стенде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лабораторная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Поиск уязвимостей на стенде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лабораторная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Разбор инцидента на стенде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лабораторная работа</w:t>
            </w:r>
          </w:p>
        </w:tc>
      </w:tr>
      <w:tr>
        <w:tc>
          <w:tcPr>
            <w:tcW w:type="dxa" w:w="2648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Экзамен с практическим заданием</w:t>
            </w:r>
          </w:p>
        </w:tc>
      </w:tr>
      <w:tr>
        <w:tc>
          <w:tcPr>
            <w:tcW w:type="dxa" w:w="2648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17,5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29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16,5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2.3. Календарный учебный график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Срок обучения — 4 нед., 18 учебных дн., не более 6 часов в день. Даты начала и окончания обучения устанавливаются приказом о зачислении слушателей.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00"/>
        <w:gridCol w:w="1300"/>
        <w:gridCol w:w="5638"/>
        <w:gridCol w:w="1600"/>
      </w:tblGrid>
      <w:tr>
        <w:trPr>
          <w:tblHeader/>
        </w:trPr>
        <w:tc>
          <w:tcPr>
            <w:tcW w:type="dxa" w:w="11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Неделя</w:t>
            </w:r>
          </w:p>
        </w:tc>
        <w:tc>
          <w:tcPr>
            <w:tcW w:type="dxa" w:w="13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Учебные дни</w:t>
            </w:r>
          </w:p>
        </w:tc>
        <w:tc>
          <w:tcPr>
            <w:tcW w:type="dxa" w:w="563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Разделы и темы</w:t>
            </w:r>
          </w:p>
        </w:tc>
        <w:tc>
          <w:tcPr>
            <w:tcW w:type="dxa" w:w="16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1.1, Тема 1.2, Тема 1.3, Тема 2.1, Тема 2.2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20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2.2, Тема 2.3, Тема 3.1, Тема 3.2, Тема 3.3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20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3.3, Тема 4.1, Тема 4.2, Тема 4.3, Тема 5.1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20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5.1, Тема 5.2, Итоговая аттестация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</w:tr>
      <w:tr>
        <w:tc>
          <w:tcPr>
            <w:tcW w:type="dxa" w:w="8038"/>
            <w:gridSpan w:val="3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72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2.4. Рабочая программа</w:t>
      </w:r>
    </w:p>
    <w:tbl>
      <w:tblPr>
        <w:tblLook w:firstColumn="1" w:firstRow="1" w:lastColumn="0" w:lastRow="0" w:noHBand="0" w:noVBand="1" w:val="04A0"/>
        <w:tblW w:w="9640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400"/>
        <w:gridCol w:w="5200"/>
        <w:gridCol w:w="1040"/>
      </w:tblGrid>
      <w:tr>
        <w:trPr>
          <w:tblHeader/>
        </w:trPr>
        <w:tc>
          <w:tcPr>
            <w:tcW w:type="dxa" w:w="34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компонентов программы</w:t>
            </w:r>
          </w:p>
        </w:tc>
        <w:tc>
          <w:tcPr>
            <w:tcW w:type="dxa" w:w="52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Содержание учебного материала и формы организации деятельности слушателей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 (час.)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1. Основы информационной безопасности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1.1. Угрозы и уязвимости информационных систем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«Угрозы и уязвимости информационных систем»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угрозы и уязвимости информационных систем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угрозы и уязвимости информационных систем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«Угрозы и уязвимости информационных систем»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угрозы и уязвимости информационных систем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угрозы и уязвимости информационных систем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«Угрозы и уязвимости информационных систем»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угрозы и уязвимости информационных систем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угрозы и уязвимости информационных систем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1.2. Требования к защите информации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«Требования к защите информации»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требования к защите информации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требования к защите информации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«Требования к защите информации»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требования к защите информации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требования к защите информации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«Требования к защите информации»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требования к защите информации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требования к защите информации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1.3. Оценка рисков для информационной системы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«Оценка рисков для информационной системы»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оценка рисков для информационной системы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оценка рисков для информационной системы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«Оценка рисков для информационной системы»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оценка рисков для информационной системы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оценка рисков для информационной системы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«Оценка рисков для информационной системы»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оценка рисков для информационной системы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оценка рисков для информационной системы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2. Защита компьютерных сетей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16,5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2.1. Межсетевые экраны и сегментация сети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«Межсетевые экраны и сегментация сети»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межсетевые экраны и сегментация сети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межсетевые экраны и сегментация сети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«Межсетевые экраны и сегментация сети»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межсетевые экраны и сегментация сети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межсетевые экраны и сегментация сети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стенда для работы «Межсетевые экраны и сегментация сети»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лабораторной работы: межсетевые экраны и сегментация сети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Оформление результатов: межсетевые экраны и сегментация сети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«Межсетевые экраны и сегментация сети»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межсетевые экраны и сегментация сети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межсетевые экраны и сегментация сети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2.2. Защищённые протоколы и удалённый доступ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«Защищённые протоколы и удалённый доступ»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защищённые протоколы и удалённый доступ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защищённые протоколы и удалённый доступ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«Защищённые протоколы и удалённый доступ»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защищённые протоколы и удалённый доступ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защищённые протоколы и удалённый доступ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«Защищённые протоколы и удалённый доступ»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защищённые протоколы и удалённый доступ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защищённые протоколы и удалённый доступ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2.3. Обнаружение вторжений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«Обнаружение вторжений»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обнаружение вторжений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обнаружение вторжений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«Обнаружение вторжений»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обнаружение вторжений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обнаружение вторжений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стенда для работы «Обнаружение вторжений»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лабораторной работы: обнаружение вторжений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Оформление результатов: обнаружение вторжений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«Обнаружение вторжений»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обнаружение вторжений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обнаружение вторжений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3. Защита операционных систем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3.1. Безопасная настройка Linux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«Безопасная настройка Linux»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безопасная настройка linux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безопасная настройка linux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«Безопасная настройка Linux»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безопасная настройка linux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безопасная настройка linux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стенда для работы «Безопасная настройка Linux»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лабораторной работы: безопасная настройка linux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Оформление результатов: безопасная настройка linux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«Безопасная настройка Linux»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безопасная настройка linux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безопасная настройка linux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3.2. Безопасная настройка Windows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«Безопасная настройка Windows»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безопасная настройка windows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безопасная настройка windows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«Безопасная настройка Windows»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безопасная настройка windows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безопасная настройка windows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стенда для работы «Безопасная настройка Windows»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лабораторной работы: безопасная настройка windows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Оформление результатов: безопасная настройка windows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«Безопасная настройка Windows»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безопасная настройка windows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безопасная настройка windows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3.3. Учётные записи и разграничение доступа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«Учётные записи и разграничение доступа»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учётные записи и разграничение доступа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учётные записи и разграничение доступа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«Учётные записи и разграничение доступа»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учётные записи и разграничение доступа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учётные записи и разграничение доступа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«Учётные записи и разграничение доступа»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учётные записи и разграничение доступа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учётные записи и разграничение доступа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4. Мониторинг событий и инциденты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16,5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4.1. Журналы событий и их анализ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«Журналы событий и их анализ»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журналы событий и их анализ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журналы событий и их анализ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«Журналы событий и их анализ»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журналы событий и их анализ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журналы событий и их анализ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стенда для работы «Журналы событий и их анализ»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лабораторной работы: журналы событий и их анализ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Оформление результатов: журналы событий и их анализ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«Журналы событий и их анализ»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журналы событий и их анализ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журналы событий и их анализ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4.2. Системы мониторинга событий безопасности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«Системы мониторинга событий безопасности»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системы мониторинга событий безопасности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системы мониторинга событий безопасности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«Системы мониторинга событий безопасности»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системы мониторинга событий безопасности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системы мониторинга событий безопасности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«Системы мониторинга событий безопасности»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системы мониторинга событий безопасности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системы мониторинга событий безопасности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4.3. Реагирование на инциденты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«Реагирование на инциденты»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реагирование на инциденты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реагирование на инциденты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(3,5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«Реагирование на инциденты»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реагирование на инциденты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реагирование на инциденты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«Реагирование на инциденты»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реагирование на инциденты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реагирование на инциденты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5. Практикум на учебном стенде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5.1. Поиск уязвимостей на стенде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«Поиск уязвимостей на стенде»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поиск уязвимостей на стенде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поиск уязвимостей на стенде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«Поиск уязвимостей на стенде»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поиск уязвимостей на стенде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поиск уязвимостей на стенде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стенда для работы «Поиск уязвимостей на стенде»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лабораторной работы: поиск уязвимостей на стенде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Оформление результатов: поиск уязвимостей на стенде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«Поиск уязвимостей на стенде»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поиск уязвимостей на стенде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поиск уязвимостей на стенде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5.2. Разбор инцидента на стенде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«Разбор инцидента на стенде»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разбор инцидента на стенде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разбор инцидента на стенде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«Разбор инцидента на стенде»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разбор инцидента на стенде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разбор инцидента на стенде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стенда для работы «Разбор инцидента на стенде»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лабораторной работы: разбор инцидента на стенде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Оформление результатов: разбор инцидента на стенде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«Разбор инцидента на стенде»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разбор инцидента на стенде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разбор инцидента на стенде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52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Экзамен с практическим заданием на стенде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</w:tr>
      <w:tr>
        <w:tc>
          <w:tcPr>
            <w:tcW w:type="dxa" w:w="3400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52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72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 Оценка качества освоения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Качество освоения программы оценивается в ходе текущего контроля по разделам и на итоговой аттестации. К итоговой аттестации допускаются слушатели, выполнившие все задания текущего контроля.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2.5.1. Формы текущего контроля и итоговой аттестации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Текущий контроль по разделам программы: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1. «Основы информационной безопасности» — тест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2. «Защита компьютерных сетей» — практическая работа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3. «Защита операционных систем» — практическая работа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4. «Мониторинг событий и инциденты» — практическая работа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5. «Практикум на учебном стенде» — лабораторная работа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Итоговая аттестация — экзамен с практическим заданием (2 часа). Зачтено — не меньше 6 баллов из 10.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Результат итоговой аттестации — «зачтено» или «не зачтено».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2.5.2. Оценочные материалы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Оценочные материалы текущего контроля приведены в Приложении 1, оценочные материалы итоговой аттестации — в Приложении 2.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2.5.3. Анализ удовлетворённости слушателей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После завершения обучения слушатели заполняют анонимную анкету об удовлетворённости содержанием, организацией и работой преподавателей; результаты учитываются при обновлении программы.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3. ОРГАНИЗАЦИОННО-ПЕДАГОГИЧЕСКИЕ УСЛОВИЯ РЕАЛИЗАЦИИ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3.1. Материально-техническое обеспечение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аудитория с проектором и маркерной доской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Компьютеры для каждого слушателя с доступом к сети Интернет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среда для выполнения практических заданий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Электронная информационно-образовательная среда для материалов и заданий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 Учебно-методическое и информационное обеспечение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Учебно-методическое и информационное обеспечение программы включает: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3.2.1. Нормативно-правовые документы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Федеральный закон от 29.12.2012 № 273-ФЗ «Об образовании в Российской Федерации»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Приказ Минобрнауки России от 24.03.2025 № 266 «Об утверждении Порядка организации и осуществления образовательной деятельности по дополнительным профессиональным программам»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Профессиональный стандарт 06.032 «Специалист по безопасности компьютерных систем и сетей», приказ Минтруда России от 14.09.2022 № 533н (действует с 01.03.2023 до 01.03.2029)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3.2.2. Основная литература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Баранова Е. К., Бабаш А. В. Информационная безопасность и защита информации : учебное пособие. — ИНФРА-М, 2026. — ISBN 978-5-16-021869-4. — URL: https://rusneb.ru/catalog/000200_000018_RU_NLR_BIBL_A_022803503/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Таненбаум Э., Фимстер Н., Уэзеролл Д. Компьютерные сети. — Питер, 2023. — ISBN 978-5-4461-1766-6. — URL: https://rusneb.ru/catalog/000200_000018_RU_NLR_BIBL_A_016354472/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Колисниченко Д. Н. Linux. Полное руководство по работе и администрированию. — Наука и техника, 2021. — ISBN 978-5-94387-608-0. — URL: https://rusneb.ru/catalog/000199_000009_010465452/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3.2.3. Дополнительная литература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Вовк Е. Т. Astra Linux : руководство по национальной операционной системе и совместимым офисным программам. — Манн, Иванов и Фербер, 2022. — ISBN 978-5-00195-136-0. — URL: https://rusneb.ru/catalog/000199_000009_010995796/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Олифер В. Г., Олифер Н. А. Компьютерные сети. Принципы, технологии, протоколы. — Питер, 2020. — ISBN 978-5-4461-1426-9. — URL: https://rusneb.ru/catalog/000199_000009_010313053/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Немет Э., Снайдер Г., Хейн Т. Unix и Linux : руководство системного администратора. — Диалектика, 2020. — ISBN 978-5-907144-10-1. — URL: https://rusneb.ru/catalog/000199_000009_010383262/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3.2.4. Интернет-ресурсы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Банк данных угроз безопасности информации ФСТЭК России. — URL: https://bdu.fstec.ru/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Справочный центр Astra Linux (Wiki-библиотека). — URL: https://wiki.astralinux.ru/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Документация ALT Linux Team. — URL: https://docs.altlinux.org/ru-RU/index.html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3.2.5. Программное обеспечение и информационные системы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МойОфис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Браузер Яндекс Браузер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Система дистанционного обучения Moodle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3.3. Организация образовательного процесса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Занятия проводятся по учебному плану и календарному графику. Практические задания выполняются на занятиях и самостоятельно, результаты проверяет преподаватель.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3.4. Кадровое обеспечение образовательного процесса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Преподаватели с высшим образованием по профилю программы и опытом практической работы в этой сфере.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Преподаватель: </w:t>
      </w:r>
      <w:r>
        <w:rPr>
          <w:rFonts w:ascii="Times New Roman" w:hAnsi="Times New Roman" w:eastAsia="Times New Roman" w:cs="Times New Roman"/>
          <w:b w:val="0"/>
        </w:rPr>
        <w:t>____ (ФИО), ____ (должность)</w:t>
      </w:r>
    </w:p>
    <w:p>
      <w:pPr>
        <w:pStyle w:val="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1</w:t>
      </w:r>
    </w:p>
    <w:p>
      <w:pPr>
        <w:keepNext/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Оценочные материалы текущего контроля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1. Основы информационной безопасности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тест.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(6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1 по результату «Знать основные требования к защите информации в организации»: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1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2 по результату «Знать основные требования к защите информации в организации»: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2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3 по результату «Уметь оценивать угрозы для простой информационной системы»: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3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4 по результату «Уметь оценивать угрозы для простой информационной системы»: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4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Вопрос 5 по результату «Владеть навыком оформления результатов проверки защищённости»: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5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6. Вопрос 6 по результату «Владеть навыком оформления результатов проверки защищённости»: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6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Угрозы и уязвимости информационных систем» (тема 1.1)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«Угрозы и уязвимости информационных систем».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«Угрозы и уязвимости информационных систем»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Требования к защите информации» (тема 1.2)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«Требования к защите информации».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«Требования к защите информации»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Оценка рисков для информационной системы» (тема 1.3)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«Оценка рисков для информационной системы».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«Оценка рисков для информационной системы»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2. Защита компьютерных сетей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практическая работа.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(6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1 по результату «Знать назначение межсетевых экранов, средств защиты от вредо»: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1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2 по результату «Знать назначение межсетевых экранов, средств защиты от вредо»: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2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3 по результату «Уметь настраивать базовые параметры защиты сети и операционн»: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3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4 по результату «Уметь настраивать базовые параметры защиты сети и операционн»: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4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Вопрос 5 по результату «Владеть приёмами проверки настроек защиты на учебном стенде»: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5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6. Вопрос 6 по результату «Владеть приёмами проверки настроек защиты на учебном стенде»: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6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Межсетевые экраны и сегментация сети» (тема 2.1)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«Межсетевые экраны и сегментация сети».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«Межсетевые экраны и сегментация сети»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Защищённые протоколы и удалённый доступ» (тема 2.2)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«Защищённые протоколы и удалённый доступ».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«Защищённые протоколы и удалённый доступ»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Обнаружение вторжений» (тема 2.3)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«Обнаружение вторжений».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«Обнаружение вторжений»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3. Защита операционных систем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практическая работа.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(2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1 по результату «Уметь настраивать базовые параметры защиты сети и операционн»: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1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2 по результату «Владеть приёмами проверки настроек защиты на учебном стенде»: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2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Безопасная настройка Linux» (тема 3.1)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«Безопасная настройка Linux».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«Безопасная настройка Linux»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Безопасная настройка Windows» (тема 3.2)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«Безопасная настройка Windows».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«Безопасная настройка Windows»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Учётные записи и разграничение доступа» (тема 3.3)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«Учётные записи и разграничение доступа».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«Учётные записи и разграничение доступа»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4. Мониторинг событий и инциденты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практическая работа.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(6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1 по результату «Знать типовые инциденты безопасности и порядок реагирования 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1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2 по результату «Знать типовые инциденты безопасности и порядок реагирования 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2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3 по результату «Уметь находить признаки атаки в журналах событий»: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3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4 по результату «Уметь находить признаки атаки в журналах событий»: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4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Вопрос 5 по результату «Владеть навыком разбора простого инцидента по шагам»: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5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6. Вопрос 6 по результату «Владеть навыком разбора простого инцидента по шагам»: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6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Журналы событий и их анализ» (тема 4.1)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«Журналы событий и их анализ».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«Журналы событий и их анализ»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Системы мониторинга событий безопасности» (тема 4.2)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«Системы мониторинга событий безопасности».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«Системы мониторинга событий безопасности»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Реагирование на инциденты» (тема 4.3)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«Реагирование на инциденты».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«Реагирование на инциденты»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5. Практикум на учебном стенде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лабораторная работа.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(4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1 по результату «Владеть приёмами проверки настроек защиты на учебном стенде»: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1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2 по результату «Уметь оценивать угрозы для простой информационной системы»: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2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3 по результату «Владеть навыком разбора простого инцидента по шагам»: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3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4 по результату «Владеть навыком оформления результатов проверки защищённости»: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4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Поиск уязвимостей на стенде» (тема 5.1)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«Поиск уязвимостей на стенде».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«Поиск уязвимостей на стенде»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Разбор инцидента на стенде» (тема 5.2)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«Разбор инцидента на стенде».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«Разбор инцидента на стенде»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pStyle w:val="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2</w:t>
      </w:r>
    </w:p>
    <w:p>
      <w:pPr>
        <w:keepNext/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Оценочные материалы итоговой аттестации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Форма итоговой аттестации: </w:t>
      </w:r>
      <w:r>
        <w:rPr>
          <w:rFonts w:ascii="Times New Roman" w:hAnsi="Times New Roman" w:eastAsia="Times New Roman" w:cs="Times New Roman"/>
          <w:b w:val="0"/>
        </w:rPr>
        <w:t>экзамен с практическим заданием, 2 часа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Экзамен с практическим заданием на стенде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Требования к итоговой работе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Работа выполняется самостоятельно по темам программы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Материал работы относится к сфере: рабочей практики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оформляется по шаблону и сдаётся до начала аттестации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Пример задания: Практическое задание экзамена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Среда и исходные данные: </w:t>
      </w:r>
      <w:r>
        <w:rPr>
          <w:rFonts w:ascii="Times New Roman" w:hAnsi="Times New Roman" w:eastAsia="Times New Roman" w:cs="Times New Roman"/>
          <w:b w:val="0"/>
        </w:rPr>
        <w:t>Учебный стенд с установленной программой и заранее подготовленными исходными данными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типовую рабочую операцию из сферы «рабочей практики» и проверить результат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краткое пояснение к нему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Детализированные критерии оценки</w:t>
      </w:r>
    </w:p>
    <w:tbl>
      <w:tblPr>
        <w:tblLook w:firstColumn="1" w:firstRow="1" w:lastColumn="0" w:lastRow="0" w:noHBand="0" w:noVBand="1" w:val="04A0"/>
        <w:tblW w:w="9679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479"/>
        <w:gridCol w:w="2200"/>
      </w:tblGrid>
      <w:tr>
        <w:trPr>
          <w:tblHeader/>
        </w:trPr>
        <w:tc>
          <w:tcPr>
            <w:tcW w:type="dxa" w:w="7479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Критерий</w:t>
            </w:r>
          </w:p>
        </w:tc>
        <w:tc>
          <w:tcPr>
            <w:tcW w:type="dxa" w:w="22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Максимальный балл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Работа выполнена полностью и соответствует заданию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Решение обосновано и опирается на материал программы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Слушатель уверенно отвечает на вопросы по своей работе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7479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10</w:t>
            </w:r>
          </w:p>
        </w:tc>
      </w:tr>
    </w:tbl>
    <w:p>
      <w:pPr>
        <w:spacing w:before="0" w:after="120"/>
        <w:ind w:firstLine="0"/>
      </w:pP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Условие «зачтено»: </w:t>
      </w:r>
      <w:r>
        <w:rPr>
          <w:rFonts w:ascii="Times New Roman" w:hAnsi="Times New Roman" w:eastAsia="Times New Roman" w:cs="Times New Roman"/>
          <w:b w:val="0"/>
        </w:rPr>
        <w:t>Зачтено — не меньше 6 баллов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Процедура проведения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Слушатель заранее сдаёт работу преподавателю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Представляет результат комиссии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Отвечает на вопросы комиссии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Комиссия выставляет баллы по критериям и объявляет результат</w:t>
      </w:r>
    </w:p>
    <w:p>
      <w:pPr>
        <w:pStyle w:val="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3</w:t>
      </w:r>
    </w:p>
    <w:p>
      <w:pPr>
        <w:keepNext/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Отчёт автопроверки комплекта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Служебное приложение для методиста: перед утверждением программы его можно удалить. Сверка самих файлов выгрузки с комплектом выполняется после сборки документа — её итог в файлах report.md и report.json.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>Итог. Комплект собран, ошибок нет; 2 предупреждения методисту и 1 замечание автопроверки — см. ниже. Пояснения к сборке — в разделе «Что пропущено и почему».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Коротко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ошибки (нужно исправить до утверждения): 0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предупреждения методисту (с вариантами решения): 2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замечания автопроверки (стоит проверить): 1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объём: заявлено 72 ч, собрано 72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модель: заготовленные ответы (демонстрационный режим); режим генерации — полный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время сборки комплекта после утверждения каркаса: 1 с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Предупреждения методисту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Здесь — ситуации, где нужно решение методиста или заказчика: агент нашёл их сам по общим правилам. У каждого предупреждения — цифры и варианты решения.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1. Ожидания заказчика выше, чем может дать программа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 запросе ожидание «пойти работать в эту сферу». Программа на 72 часа даёт начальный уровень: «Уметь настраивать базовые параметры защиты сети и операционной системы»; «Уметь находить признаки атаки в журналах событий»; «Уметь оценивать угрозы для простой информационной системы». Этого хватит, чтобы продолжить обучение и выполнять простые задачи под руководством, но не чтобы сразу работать специалистом самостоятельно. Проверьте, что цель и результаты программы не обещают трудоустройства.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Цифры: Ожидание из запроса — «пойти работать в эту сферу»; Объём программы — 72 ч; Практические и лабораторные занятия — 45,5 ч (63 % объёма); Результатов обучения «уметь» и «владеть» — 6.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</w:rPr>
        <w:t>Варианты решения: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Сформулировать с заказчиком реалистичный результат: после программы слушатель освоит базовые умения и сможет продолжить обучение.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Если заказчику нужна новая профессия — предложить программу профессиональной переподготовки: по закону об образовании она готовит к новому виду профессиональной деятельности, а повышение квалификации развивает компетенции в рамках имеющейся квалификации.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Увеличить объём программы и долю практики на реальных задачах: сейчас практических и лабораторных занятий 45,5 ч из 72 ч.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2. Акт из задания утратил силу — в программе указан действующий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 программе указан действующий акт — Приказ Минобрнауки России от 24.03.2025 № 266 (действует с 01.09.2025). Прежний акт, на который могут ссылаться задание и старые образцы, утратил силу и в программу не включён.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</w:rPr>
        <w:t>Варианты решения: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Ничего менять в программе не нужно — в ней указан действующий акт.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Обновите ссылку в задании и шаблонах организации: Приказ Минобрнауки России от 24.03.2025 № 266.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Проверьте другие программы организации, где ещё указан прежний акт.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Замечания автопроверки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обучения 1.3 раскрывается в темах 3 модулей из 5 (модуль 2 «Защита компьютерных сетей», модуль 3 «Защита операционных систем», модуль 5 «Практикум на учебном стенде»): содержание модулей повторяется. Оставьте результат в одном-двух модулях, у остальных — свои результаты. Как исправить: нужно решение методиста: поправьте текст или параметры запроса и пересоберите комплект.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Часы по уровням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Заявлено 72 ч, по учебному плану 72 ч — сходится.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Из них контактная работа — 63 ч, самостоятельная работа — 7 ч, итоговая аттестация — 2 ч.</w:t>
      </w:r>
    </w:p>
    <w:tbl>
      <w:tblPr>
        <w:tblLook w:firstColumn="1" w:firstRow="1" w:lastColumn="0" w:lastRow="0" w:noHBand="0" w:noVBand="1" w:val="04A0"/>
        <w:tblW w:w="9774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889"/>
        <w:gridCol w:w="977"/>
        <w:gridCol w:w="977"/>
        <w:gridCol w:w="977"/>
        <w:gridCol w:w="977"/>
        <w:gridCol w:w="977"/>
      </w:tblGrid>
      <w:tr>
        <w:trPr>
          <w:tblHeader/>
        </w:trPr>
        <w:tc>
          <w:tcPr>
            <w:tcW w:type="dxa" w:w="4889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Уровень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1. Основы информационной безопасности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1.1. Угрозы и уязвимости информационных систем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1.2. Требования к защите информации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1.3. Оценка рисков для информационной системы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2. Защита компьютерных сетей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2.1. Межсетевые экраны и сегментация сети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2.2. Защищённые протоколы и удалённый доступ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2.3. Обнаружение вторжений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3. Защита операционных систем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3.1. Безопасная настройка Linux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3.2. Безопасная настройка Windows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3.3. Учётные записи и разграничение доступа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4. Мониторинг событий и инциденты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4.1. Журналы событий и их анализ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4.2. Системы мониторинга событий безопасности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4.3. Реагирование на инциденты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5. Практикум на учебном стенде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5.1. Поиск уязвимостей на стенде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5.2. Разбор инцидента на стенде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17,5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29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16,5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</w:t>
            </w:r>
          </w:p>
        </w:tc>
      </w:tr>
    </w:tbl>
    <w:p>
      <w:pPr>
        <w:spacing w:before="0" w:after="120"/>
        <w:ind w:firstLine="0"/>
      </w:pP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Суммы строк, разделов и итогов, шаг 0,5 ч и календарь проверены: замечаний нет.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Покрытие результатов обучения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9 из 9 результатов обучения раскрыты в темах и проверяются двумя и более оценочными средствами (вопросы теста, практические задания, вопросы собеседования, итоговая аттестация).</w:t>
      </w:r>
    </w:p>
    <w:tbl>
      <w:tblPr>
        <w:tblLook w:firstColumn="1" w:firstRow="1" w:lastColumn="0" w:lastRow="0" w:noHBand="0" w:noVBand="1" w:val="04A0"/>
        <w:tblW w:w="9777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513"/>
        <w:gridCol w:w="1504"/>
        <w:gridCol w:w="2256"/>
        <w:gridCol w:w="1504"/>
      </w:tblGrid>
      <w:tr>
        <w:trPr>
          <w:tblHeader/>
        </w:trPr>
        <w:tc>
          <w:tcPr>
            <w:tcW w:type="dxa" w:w="4513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Результат обучения</w:t>
            </w:r>
          </w:p>
        </w:tc>
        <w:tc>
          <w:tcPr>
            <w:tcW w:type="dxa" w:w="1504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Темы</w:t>
            </w:r>
          </w:p>
        </w:tc>
        <w:tc>
          <w:tcPr>
            <w:tcW w:type="dxa" w:w="2256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Оценочные средства</w:t>
            </w:r>
          </w:p>
        </w:tc>
        <w:tc>
          <w:tcPr>
            <w:tcW w:type="dxa" w:w="1504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1.1. Знать назначение межсетевых экранов, средств защиты от вредоносного кода и систем обнаруж…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2.1, 2.2, 2.3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2, задания: 3,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1.2. Уметь настраивать базовые параметры защиты сети и операционной системы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2.1, 2.2, 3.1, 3.2, 3.3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3, задания: 5,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1.3. Владеть приёмами проверки настроек защиты на учебном стенде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2.3, 3.1, 3.2, 5.1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4, задания: 4,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2.1. Знать типовые инциденты безопасности и порядок реагирования на них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4.1, 4.3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2, задания: 2,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2.2. Уметь находить признаки атаки в журналах событий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4.1, 4.2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2, задания: 2,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2.3. Владеть навыком разбора простого инцидента по шагам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4.3, 5.2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3, задания: 2,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3.1. Знать основные требования к защите информации в организации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1.1, 1.2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2, задания: 2,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 Уметь оценивать угрозы для простой информационной системы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1.1, 1.3, 5.1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3, задания: 3,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3.3. Владеть навыком оформления результатов проверки защищённости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1.3, 5.2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3, задания: 2,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Источники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подтверждено: 9 (каталог проверенных изданий — 9)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не подтверждено — в документе с пометкой «[не подтверждено]»: 0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отброшено при проверке: 1 (не прошли проверку ISBN, издательства или года — 1; сверх лимита неподтверждённых — 0)</w:t>
      </w:r>
    </w:p>
    <w:tbl>
      <w:tblPr>
        <w:tblLook w:firstColumn="1" w:firstRow="1" w:lastColumn="0" w:lastRow="0" w:noHBand="0" w:noVBand="1" w:val="04A0"/>
        <w:tblW w:w="977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5432"/>
        <w:gridCol w:w="2173"/>
        <w:gridCol w:w="2173"/>
      </w:tblGrid>
      <w:tr>
        <w:trPr>
          <w:tblHeader/>
        </w:trPr>
        <w:tc>
          <w:tcPr>
            <w:tcW w:type="dxa" w:w="543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</w:t>
            </w:r>
          </w:p>
        </w:tc>
        <w:tc>
          <w:tcPr>
            <w:tcW w:type="dxa" w:w="2173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Подтверждено</w:t>
            </w:r>
          </w:p>
        </w:tc>
        <w:tc>
          <w:tcPr>
            <w:tcW w:type="dxa" w:w="2173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Без подтверждения</w:t>
            </w:r>
          </w:p>
        </w:tc>
      </w:tr>
      <w:tr>
        <w:tc>
          <w:tcPr>
            <w:tcW w:type="dxa" w:w="543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Основная литература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543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Дополнительная литература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543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Интернет-ресурсы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Полнота разделов шаблона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Заполнено 26 из 26 разделов шаблона. Все разделы шаблона заполнены.</w:t>
      </w:r>
    </w:p>
    <w:tbl>
      <w:tblPr>
        <w:tblLook w:firstColumn="1" w:firstRow="1" w:lastColumn="0" w:lastRow="0" w:noHBand="0" w:noVBand="1" w:val="04A0"/>
        <w:tblW w:w="977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605"/>
        <w:gridCol w:w="2173"/>
      </w:tblGrid>
      <w:tr>
        <w:trPr>
          <w:tblHeader/>
        </w:trPr>
        <w:tc>
          <w:tcPr>
            <w:tcW w:type="dxa" w:w="7605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шаблона</w:t>
            </w:r>
          </w:p>
        </w:tc>
        <w:tc>
          <w:tcPr>
            <w:tcW w:type="dxa" w:w="2173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1.1. Аннотация программы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1.2. Цель реализации программы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1.3. Планируемые результаты обучения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1.4. Программа разработана на основе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1.5. Перечень профессиональных компетенций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1.6. Требования к слушателям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1.7. Форма обучения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1.8. Объём программы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1.9. Выдаваемый документ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2.1. Учебный план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2.2. Учебно-тематический план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2.3. Календарный учебный график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2.4. Рабочая программа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2.5.1. Формы аттестации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2.5.2. Оценочные материалы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2.5.3. Анализ удовлетворённости слушателей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3.1. Материально-техническое обеспечение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3.2.1. Нормативно-правовые документы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3.2.2. Основная литература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3.2.3. Дополнительная литература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3.2.4. Интернет-ресурсы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3.2.5. Программное обеспечение и информационные системы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3.3. Организация образовательного процесса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3.4. Кадровое обеспечение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Приложение 1. Оценочные материалы текущего контроля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Приложение 2. Оценочные материалы итоговой аттестации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Совпадение с образцом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Образец к запросу не приложен — сравнивать не с чем.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Смысловая проверка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Эксперт-модель проверила то, что нельзя посчитать кодом: пройдено 8 из 8 критериев. Замечания — повод перечитать соответствующий раздел.</w:t>
      </w:r>
    </w:p>
    <w:tbl>
      <w:tblPr>
        <w:tblLook w:firstColumn="1" w:firstRow="1" w:lastColumn="0" w:lastRow="0" w:noHBand="0" w:noVBand="1" w:val="04A0"/>
        <w:tblW w:w="977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605"/>
        <w:gridCol w:w="2173"/>
      </w:tblGrid>
      <w:tr>
        <w:trPr>
          <w:tblHeader/>
        </w:trPr>
        <w:tc>
          <w:tcPr>
            <w:tcW w:type="dxa" w:w="7605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Критерий</w:t>
            </w:r>
          </w:p>
        </w:tc>
        <w:tc>
          <w:tcPr>
            <w:tcW w:type="dxa" w:w="2173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Язык и терминология соответствуют аудитории; термины поясняются; нет жаргона.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Уровень, последовательность тем и входные требования соответствуют входному уровню слушателей.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Результаты обучения реалистичны для объёма программы; нет обещаний сверх объёма.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Ситуации заданий взяты из профессиональной среды слушателей и реалистичны.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Итоговая аттестация и задания соответствуют форме из запроса; требования конкретны, критерии измеримы, пример задания выполним.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Содержание тем и лекций действительно раскрывает привязанные результаты обучения.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Нет устаревших инструментов, версий и практик.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Аннотация, цель и планируемые результаты по сути соответствуют своим разделам.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Что пропущено и почему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Источников, предложенных моделью и не прошедших проверку: 1 — они не включены.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Полная версия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Полная версия отчёта — файл report.md: в ней дословные формулировки замечаний к образцу, цитаты приложенного образца, комментарии смысловой проверки, отброшенные источники и стоимость сборки. В программу они не включаются.</w:t>
      </w:r>
    </w:p>
    <w:sectPr w:rsidR="00912FE8">
      <w:pgSz w:w="11906" w:h="16838"/>
      <w:pgMar w:top="1135" w:right="851" w:bottom="1418" w:left="1276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09C03C3" w14:textId="77777777" w:rsidR="00C15E4E" w:rsidRDefault="00C15E4E">
      <w:r>
        <w:separator/>
      </w:r>
    </w:p>
  </w:endnote>
  <w:endnote w:type="continuationSeparator" w:id="0">
    <w:p w14:paraId="15BB2700" w14:textId="77777777" w:rsidR="00C15E4E" w:rsidRDefault="00C15E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3A3BD68" w14:textId="77777777" w:rsidR="00C15E4E" w:rsidRDefault="00C15E4E">
      <w:r>
        <w:separator/>
      </w:r>
    </w:p>
  </w:footnote>
  <w:footnote w:type="continuationSeparator" w:id="0">
    <w:p w14:paraId="1D70246B" w14:textId="77777777" w:rsidR="00C15E4E" w:rsidRDefault="00C15E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E664AC"/>
    <w:multiLevelType w:val="hybridMultilevel"/>
    <w:tmpl w:val="C7FA537A"/>
    <w:lvl w:ilvl="0" w:tplc="069E2D4A">
      <w:start w:val="1"/>
      <w:numFmt w:val="bullet"/>
      <w:lvlText w:val="–"/>
      <w:lvlJc w:val="left"/>
      <w:pPr>
        <w:spacing w:after="40"/>
        <w:ind w:left="360" w:hanging="240"/>
      </w:pPr>
    </w:lvl>
    <w:lvl w:ilvl="1" w:tplc="E97CD804">
      <w:start w:val="1"/>
      <w:numFmt w:val="decimal"/>
      <w:lvlText w:val=""/>
      <w:lvlJc w:val="left"/>
    </w:lvl>
    <w:lvl w:ilvl="2" w:tplc="BBE6E0CA">
      <w:start w:val="1"/>
      <w:numFmt w:val="decimal"/>
      <w:lvlText w:val=""/>
      <w:lvlJc w:val="left"/>
    </w:lvl>
    <w:lvl w:ilvl="3" w:tplc="2CAAC91E">
      <w:start w:val="1"/>
      <w:numFmt w:val="decimal"/>
      <w:lvlText w:val=""/>
      <w:lvlJc w:val="left"/>
    </w:lvl>
    <w:lvl w:ilvl="4" w:tplc="413C2E5A">
      <w:start w:val="1"/>
      <w:numFmt w:val="decimal"/>
      <w:lvlText w:val=""/>
      <w:lvlJc w:val="left"/>
    </w:lvl>
    <w:lvl w:ilvl="5" w:tplc="9B2A39C0">
      <w:start w:val="1"/>
      <w:numFmt w:val="decimal"/>
      <w:lvlText w:val=""/>
      <w:lvlJc w:val="left"/>
    </w:lvl>
    <w:lvl w:ilvl="6" w:tplc="E0CE036A">
      <w:start w:val="1"/>
      <w:numFmt w:val="decimal"/>
      <w:lvlText w:val=""/>
      <w:lvlJc w:val="left"/>
    </w:lvl>
    <w:lvl w:ilvl="7" w:tplc="729E90F0">
      <w:start w:val="1"/>
      <w:numFmt w:val="decimal"/>
      <w:lvlText w:val=""/>
      <w:lvlJc w:val="left"/>
    </w:lvl>
    <w:lvl w:ilvl="8" w:tplc="EF2032BA">
      <w:start w:val="1"/>
      <w:numFmt w:val="decimal"/>
      <w:lvlText w:val=""/>
      <w:lvlJc w:val="left"/>
    </w:lvl>
  </w:abstractNum>
  <w:abstractNum w:abstractNumId="1">
    <w:nsid w:val="1D951714"/>
    <w:multiLevelType w:val="hybridMultilevel"/>
    <w:tmpl w:val="0DB41E44"/>
    <w:lvl w:ilvl="0" w:tplc="75DCF518">
      <w:start w:val="1"/>
      <w:numFmt w:val="bullet"/>
      <w:lvlText w:val="–"/>
      <w:lvlJc w:val="left"/>
      <w:pPr>
        <w:ind w:left="540" w:hanging="360"/>
      </w:pPr>
    </w:lvl>
    <w:lvl w:ilvl="1" w:tplc="5A609B10">
      <w:start w:val="1"/>
      <w:numFmt w:val="decimal"/>
      <w:lvlText w:val=""/>
      <w:lvlJc w:val="left"/>
    </w:lvl>
    <w:lvl w:ilvl="2" w:tplc="30B854EA">
      <w:start w:val="1"/>
      <w:numFmt w:val="decimal"/>
      <w:lvlText w:val=""/>
      <w:lvlJc w:val="left"/>
    </w:lvl>
    <w:lvl w:ilvl="3" w:tplc="E53A7526">
      <w:start w:val="1"/>
      <w:numFmt w:val="decimal"/>
      <w:lvlText w:val=""/>
      <w:lvlJc w:val="left"/>
    </w:lvl>
    <w:lvl w:ilvl="4" w:tplc="D3D6461A">
      <w:start w:val="1"/>
      <w:numFmt w:val="decimal"/>
      <w:lvlText w:val=""/>
      <w:lvlJc w:val="left"/>
    </w:lvl>
    <w:lvl w:ilvl="5" w:tplc="AC387B6A">
      <w:start w:val="1"/>
      <w:numFmt w:val="decimal"/>
      <w:lvlText w:val=""/>
      <w:lvlJc w:val="left"/>
    </w:lvl>
    <w:lvl w:ilvl="6" w:tplc="F77E513C">
      <w:start w:val="1"/>
      <w:numFmt w:val="decimal"/>
      <w:lvlText w:val=""/>
      <w:lvlJc w:val="left"/>
    </w:lvl>
    <w:lvl w:ilvl="7" w:tplc="F8BCC834">
      <w:start w:val="1"/>
      <w:numFmt w:val="decimal"/>
      <w:lvlText w:val=""/>
      <w:lvlJc w:val="left"/>
    </w:lvl>
    <w:lvl w:ilvl="8" w:tplc="F57C588E">
      <w:start w:val="1"/>
      <w:numFmt w:val="decimal"/>
      <w:lvlText w:val=""/>
      <w:lvlJc w:val="left"/>
    </w:lvl>
  </w:abstractNum>
  <w:abstractNum w:abstractNumId="2">
    <w:nsid w:val="47C51A0C"/>
    <w:multiLevelType w:val="hybridMultilevel"/>
    <w:tmpl w:val="C45446B4"/>
    <w:lvl w:ilvl="0" w:tplc="F064D31E">
      <w:start w:val="1"/>
      <w:numFmt w:val="bullet"/>
      <w:lvlText w:val="●"/>
      <w:lvlJc w:val="left"/>
      <w:pPr>
        <w:ind w:left="720" w:hanging="360"/>
      </w:pPr>
    </w:lvl>
    <w:lvl w:ilvl="1" w:tplc="BF14E546">
      <w:start w:val="1"/>
      <w:numFmt w:val="bullet"/>
      <w:lvlText w:val="○"/>
      <w:lvlJc w:val="left"/>
      <w:pPr>
        <w:ind w:left="1440" w:hanging="360"/>
      </w:pPr>
    </w:lvl>
    <w:lvl w:ilvl="2" w:tplc="490A767E">
      <w:start w:val="1"/>
      <w:numFmt w:val="bullet"/>
      <w:lvlText w:val="■"/>
      <w:lvlJc w:val="left"/>
      <w:pPr>
        <w:ind w:left="2160" w:hanging="360"/>
      </w:pPr>
    </w:lvl>
    <w:lvl w:ilvl="3" w:tplc="2312AF98">
      <w:start w:val="1"/>
      <w:numFmt w:val="bullet"/>
      <w:lvlText w:val="●"/>
      <w:lvlJc w:val="left"/>
      <w:pPr>
        <w:ind w:left="2880" w:hanging="360"/>
      </w:pPr>
    </w:lvl>
    <w:lvl w:ilvl="4" w:tplc="C98C9CFC">
      <w:start w:val="1"/>
      <w:numFmt w:val="bullet"/>
      <w:lvlText w:val="○"/>
      <w:lvlJc w:val="left"/>
      <w:pPr>
        <w:ind w:left="3600" w:hanging="360"/>
      </w:pPr>
    </w:lvl>
    <w:lvl w:ilvl="5" w:tplc="19122912">
      <w:start w:val="1"/>
      <w:numFmt w:val="bullet"/>
      <w:lvlText w:val="■"/>
      <w:lvlJc w:val="left"/>
      <w:pPr>
        <w:ind w:left="4320" w:hanging="360"/>
      </w:pPr>
    </w:lvl>
    <w:lvl w:ilvl="6" w:tplc="FFF636CE">
      <w:start w:val="1"/>
      <w:numFmt w:val="bullet"/>
      <w:lvlText w:val="●"/>
      <w:lvlJc w:val="left"/>
      <w:pPr>
        <w:ind w:left="5040" w:hanging="360"/>
      </w:pPr>
    </w:lvl>
    <w:lvl w:ilvl="7" w:tplc="C36EDAEA">
      <w:start w:val="1"/>
      <w:numFmt w:val="bullet"/>
      <w:lvlText w:val="●"/>
      <w:lvlJc w:val="left"/>
      <w:pPr>
        <w:ind w:left="5760" w:hanging="360"/>
      </w:pPr>
    </w:lvl>
    <w:lvl w:ilvl="8" w:tplc="E7FC6A2E">
      <w:start w:val="1"/>
      <w:numFmt w:val="bullet"/>
      <w:lvlText w:val="●"/>
      <w:lvlJc w:val="left"/>
      <w:pPr>
        <w:ind w:left="6480" w:hanging="360"/>
      </w:pPr>
    </w:lvl>
  </w:abstractNum>
  <w:abstractNum w:abstractNumId="3">
    <w:multiLevelType w:val="singleLevel"/>
    <w:lvl w:ilvl="0">
      <w:start w:val="1"/>
      <w:numFmt w:val="bullet"/>
      <w:lvlText w:val="–"/>
      <w:lvlJc w:val="left"/>
      <w:pPr>
        <w:ind w:left="538" w:hanging="358"/>
      </w:pPr>
      <w:rPr>
        <w:rFonts w:ascii="Times New Roman" w:hAnsi="Times New Roman" w:cs="Times New Roman"/>
      </w:rPr>
    </w:lvl>
  </w:abstractNum>
  <w:abstractNum w:abstractNumId="4">
    <w:multiLevelType w:val="singleLevel"/>
    <w:lvl w:ilvl="0">
      <w:start w:val="1"/>
      <w:numFmt w:val="bullet"/>
      <w:lvlText w:val="–"/>
      <w:lvlJc w:val="left"/>
      <w:pPr>
        <w:ind w:left="360" w:hanging="240"/>
      </w:pPr>
      <w:rPr>
        <w:rFonts w:ascii="Times New Roman" w:hAnsi="Times New Roman" w:cs="Times New Roman"/>
      </w:r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2FE8"/>
    <w:rsid w:val="00051CDE"/>
    <w:rsid w:val="0005636E"/>
    <w:rsid w:val="00083E24"/>
    <w:rsid w:val="002505B8"/>
    <w:rsid w:val="00255203"/>
    <w:rsid w:val="002A67EE"/>
    <w:rsid w:val="00392B30"/>
    <w:rsid w:val="003B75F2"/>
    <w:rsid w:val="00537D4A"/>
    <w:rsid w:val="00912FE8"/>
    <w:rsid w:val="009363A9"/>
    <w:rsid w:val="00A007C4"/>
    <w:rsid w:val="00AC0949"/>
    <w:rsid w:val="00AC306B"/>
    <w:rsid w:val="00B91476"/>
    <w:rsid w:val="00C15E4E"/>
    <w:rsid w:val="00E74B9A"/>
    <w:rsid w:val="00EC2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620A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link w:val="10"/>
    <w:qFormat/>
    <w:pPr>
      <w:spacing w:before="320" w:after="160"/>
      <w:outlineLvl w:val="0"/>
    </w:pPr>
    <w:rPr>
      <w:b/>
      <w:bCs/>
      <w:sz w:val="26"/>
      <w:szCs w:val="26"/>
    </w:rPr>
  </w:style>
  <w:style w:type="paragraph" w:styleId="2">
    <w:name w:val="heading 2"/>
    <w:link w:val="20"/>
    <w:qFormat/>
    <w:pPr>
      <w:spacing w:before="240" w:after="120"/>
      <w:outlineLvl w:val="1"/>
    </w:pPr>
    <w:rPr>
      <w:b/>
      <w:bCs/>
    </w:rPr>
  </w:style>
  <w:style w:type="paragraph" w:styleId="3">
    <w:name w:val="heading 3"/>
    <w:link w:val="30"/>
    <w:qFormat/>
    <w:pPr>
      <w:outlineLvl w:val="2"/>
    </w:pPr>
    <w:rPr>
      <w:color w:val="1F4D78"/>
    </w:rPr>
  </w:style>
  <w:style w:type="paragraph" w:styleId="4">
    <w:name w:val="heading 4"/>
    <w:link w:val="40"/>
    <w:qFormat/>
    <w:pPr>
      <w:outlineLvl w:val="3"/>
    </w:pPr>
    <w:rPr>
      <w:i/>
      <w:iCs/>
      <w:color w:val="2E74B5"/>
    </w:rPr>
  </w:style>
  <w:style w:type="paragraph" w:styleId="5">
    <w:name w:val="heading 5"/>
    <w:link w:val="50"/>
    <w:qFormat/>
    <w:pPr>
      <w:outlineLvl w:val="4"/>
    </w:pPr>
    <w:rPr>
      <w:color w:val="2E74B5"/>
    </w:rPr>
  </w:style>
  <w:style w:type="paragraph" w:styleId="6">
    <w:name w:val="heading 6"/>
    <w:link w:val="60"/>
    <w:qFormat/>
    <w:pPr>
      <w:outlineLvl w:val="5"/>
    </w:pPr>
    <w:rPr>
      <w:color w:val="1F4D78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a4">
    <w:name w:val="Название Знак"/>
    <w:basedOn w:val="a0"/>
    <w:link w:val="a5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</w:pPr>
  </w:style>
  <w:style w:type="character" w:customStyle="1" w:styleId="ad">
    <w:name w:val="Нижний колонтитул Знак"/>
    <w:basedOn w:val="a0"/>
    <w:link w:val="ac"/>
    <w:uiPriority w:val="99"/>
  </w:style>
  <w:style w:type="paragraph" w:styleId="ae">
    <w:name w:val="caption"/>
    <w:basedOn w:val="a"/>
    <w:next w:val="a"/>
    <w:link w:val="af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f">
    <w:name w:val="Название объекта Знак"/>
    <w:basedOn w:val="a0"/>
    <w:link w:val="ae"/>
    <w:uiPriority w:val="35"/>
    <w:rPr>
      <w:b/>
      <w:bCs/>
      <w:color w:val="5B9BD5" w:themeColor="accent1"/>
      <w:sz w:val="18"/>
      <w:szCs w:val="18"/>
    </w:rPr>
  </w:style>
  <w:style w:type="table" w:styleId="af0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1">
    <w:name w:val="TOC Heading"/>
    <w:uiPriority w:val="39"/>
    <w:unhideWhenUsed/>
  </w:style>
  <w:style w:type="paragraph" w:styleId="af2">
    <w:name w:val="table of figures"/>
    <w:basedOn w:val="a"/>
    <w:next w:val="a"/>
    <w:uiPriority w:val="99"/>
    <w:unhideWhenUsed/>
  </w:style>
  <w:style w:type="paragraph" w:styleId="a5">
    <w:name w:val="Title"/>
    <w:link w:val="a4"/>
    <w:qFormat/>
    <w:rPr>
      <w:sz w:val="56"/>
      <w:szCs w:val="56"/>
    </w:rPr>
  </w:style>
  <w:style w:type="paragraph" w:customStyle="1" w:styleId="12">
    <w:name w:val="Строгий1"/>
    <w:qFormat/>
    <w:rPr>
      <w:b/>
      <w:bCs/>
    </w:rPr>
  </w:style>
  <w:style w:type="paragraph" w:styleId="af3">
    <w:name w:val="List Paragraph"/>
    <w:qFormat/>
  </w:style>
  <w:style w:type="character" w:styleId="af4">
    <w:name w:val="Hyperlink"/>
    <w:uiPriority w:val="99"/>
    <w:unhideWhenUsed/>
    <w:rPr>
      <w:color w:val="0563C1"/>
      <w:u w:val="single"/>
    </w:rPr>
  </w:style>
  <w:style w:type="character" w:styleId="af5">
    <w:name w:val="footnote reference"/>
    <w:uiPriority w:val="99"/>
    <w:semiHidden/>
    <w:unhideWhenUsed/>
    <w:rPr>
      <w:vertAlign w:val="superscript"/>
    </w:rPr>
  </w:style>
  <w:style w:type="paragraph" w:styleId="af6">
    <w:name w:val="footnote text"/>
    <w:link w:val="af7"/>
    <w:uiPriority w:val="99"/>
    <w:semiHidden/>
    <w:unhideWhenUsed/>
    <w:rPr>
      <w:sz w:val="20"/>
      <w:szCs w:val="20"/>
    </w:rPr>
  </w:style>
  <w:style w:type="character" w:customStyle="1" w:styleId="af7">
    <w:name w:val="Текст сноски Знак"/>
    <w:link w:val="af6"/>
    <w:uiPriority w:val="99"/>
    <w:semiHidden/>
    <w:unhideWhenUsed/>
    <w:rPr>
      <w:sz w:val="20"/>
      <w:szCs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af9">
    <w:name w:val="endnote text"/>
    <w:link w:val="afa"/>
    <w:uiPriority w:val="99"/>
    <w:semiHidden/>
    <w:unhideWhenUsed/>
    <w:rPr>
      <w:sz w:val="20"/>
      <w:szCs w:val="20"/>
    </w:rPr>
  </w:style>
  <w:style w:type="character" w:customStyle="1" w:styleId="afa">
    <w:name w:val="Текст концевой сноски Знак"/>
    <w:link w:val="af9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link w:val="10"/>
    <w:qFormat/>
    <w:pPr>
      <w:spacing w:before="320" w:after="160"/>
      <w:outlineLvl w:val="0"/>
    </w:pPr>
    <w:rPr>
      <w:b/>
      <w:bCs/>
      <w:sz w:val="26"/>
      <w:szCs w:val="26"/>
    </w:rPr>
  </w:style>
  <w:style w:type="paragraph" w:styleId="2">
    <w:name w:val="heading 2"/>
    <w:link w:val="20"/>
    <w:qFormat/>
    <w:pPr>
      <w:spacing w:before="240" w:after="120"/>
      <w:outlineLvl w:val="1"/>
    </w:pPr>
    <w:rPr>
      <w:b/>
      <w:bCs/>
    </w:rPr>
  </w:style>
  <w:style w:type="paragraph" w:styleId="3">
    <w:name w:val="heading 3"/>
    <w:link w:val="30"/>
    <w:qFormat/>
    <w:pPr>
      <w:outlineLvl w:val="2"/>
    </w:pPr>
    <w:rPr>
      <w:color w:val="1F4D78"/>
    </w:rPr>
  </w:style>
  <w:style w:type="paragraph" w:styleId="4">
    <w:name w:val="heading 4"/>
    <w:link w:val="40"/>
    <w:qFormat/>
    <w:pPr>
      <w:outlineLvl w:val="3"/>
    </w:pPr>
    <w:rPr>
      <w:i/>
      <w:iCs/>
      <w:color w:val="2E74B5"/>
    </w:rPr>
  </w:style>
  <w:style w:type="paragraph" w:styleId="5">
    <w:name w:val="heading 5"/>
    <w:link w:val="50"/>
    <w:qFormat/>
    <w:pPr>
      <w:outlineLvl w:val="4"/>
    </w:pPr>
    <w:rPr>
      <w:color w:val="2E74B5"/>
    </w:rPr>
  </w:style>
  <w:style w:type="paragraph" w:styleId="6">
    <w:name w:val="heading 6"/>
    <w:link w:val="60"/>
    <w:qFormat/>
    <w:pPr>
      <w:outlineLvl w:val="5"/>
    </w:pPr>
    <w:rPr>
      <w:color w:val="1F4D78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a4">
    <w:name w:val="Название Знак"/>
    <w:basedOn w:val="a0"/>
    <w:link w:val="a5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</w:pPr>
  </w:style>
  <w:style w:type="character" w:customStyle="1" w:styleId="ad">
    <w:name w:val="Нижний колонтитул Знак"/>
    <w:basedOn w:val="a0"/>
    <w:link w:val="ac"/>
    <w:uiPriority w:val="99"/>
  </w:style>
  <w:style w:type="paragraph" w:styleId="ae">
    <w:name w:val="caption"/>
    <w:basedOn w:val="a"/>
    <w:next w:val="a"/>
    <w:link w:val="af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f">
    <w:name w:val="Название объекта Знак"/>
    <w:basedOn w:val="a0"/>
    <w:link w:val="ae"/>
    <w:uiPriority w:val="35"/>
    <w:rPr>
      <w:b/>
      <w:bCs/>
      <w:color w:val="5B9BD5" w:themeColor="accent1"/>
      <w:sz w:val="18"/>
      <w:szCs w:val="18"/>
    </w:rPr>
  </w:style>
  <w:style w:type="table" w:styleId="af0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1">
    <w:name w:val="TOC Heading"/>
    <w:uiPriority w:val="39"/>
    <w:unhideWhenUsed/>
  </w:style>
  <w:style w:type="paragraph" w:styleId="af2">
    <w:name w:val="table of figures"/>
    <w:basedOn w:val="a"/>
    <w:next w:val="a"/>
    <w:uiPriority w:val="99"/>
    <w:unhideWhenUsed/>
  </w:style>
  <w:style w:type="paragraph" w:styleId="a5">
    <w:name w:val="Title"/>
    <w:link w:val="a4"/>
    <w:qFormat/>
    <w:rPr>
      <w:sz w:val="56"/>
      <w:szCs w:val="56"/>
    </w:rPr>
  </w:style>
  <w:style w:type="paragraph" w:customStyle="1" w:styleId="12">
    <w:name w:val="Строгий1"/>
    <w:qFormat/>
    <w:rPr>
      <w:b/>
      <w:bCs/>
    </w:rPr>
  </w:style>
  <w:style w:type="paragraph" w:styleId="af3">
    <w:name w:val="List Paragraph"/>
    <w:qFormat/>
  </w:style>
  <w:style w:type="character" w:styleId="af4">
    <w:name w:val="Hyperlink"/>
    <w:uiPriority w:val="99"/>
    <w:unhideWhenUsed/>
    <w:rPr>
      <w:color w:val="0563C1"/>
      <w:u w:val="single"/>
    </w:rPr>
  </w:style>
  <w:style w:type="character" w:styleId="af5">
    <w:name w:val="footnote reference"/>
    <w:uiPriority w:val="99"/>
    <w:semiHidden/>
    <w:unhideWhenUsed/>
    <w:rPr>
      <w:vertAlign w:val="superscript"/>
    </w:rPr>
  </w:style>
  <w:style w:type="paragraph" w:styleId="af6">
    <w:name w:val="footnote text"/>
    <w:link w:val="af7"/>
    <w:uiPriority w:val="99"/>
    <w:semiHidden/>
    <w:unhideWhenUsed/>
    <w:rPr>
      <w:sz w:val="20"/>
      <w:szCs w:val="20"/>
    </w:rPr>
  </w:style>
  <w:style w:type="character" w:customStyle="1" w:styleId="af7">
    <w:name w:val="Текст сноски Знак"/>
    <w:link w:val="af6"/>
    <w:uiPriority w:val="99"/>
    <w:semiHidden/>
    <w:unhideWhenUsed/>
    <w:rPr>
      <w:sz w:val="20"/>
      <w:szCs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af9">
    <w:name w:val="endnote text"/>
    <w:link w:val="afa"/>
    <w:uiPriority w:val="99"/>
    <w:semiHidden/>
    <w:unhideWhenUsed/>
    <w:rPr>
      <w:sz w:val="20"/>
      <w:szCs w:val="20"/>
    </w:rPr>
  </w:style>
  <w:style w:type="character" w:customStyle="1" w:styleId="afa">
    <w:name w:val="Текст концевой сноски Знак"/>
    <w:link w:val="af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1</Pages>
  <Words>4083</Words>
  <Characters>23277</Characters>
  <Application>Microsoft Office Word</Application>
  <DocSecurity>0</DocSecurity>
  <Lines>193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cp:lastPrinted>2026-10-21T12:28:54Z</cp:lastPrinted>
  <dcterms:created xsi:type="dcterms:W3CDTF">2026-10-21T12:28:54Z</dcterms:created>
  <dcterms:modified xsi:type="dcterms:W3CDTF">2026-10-21T12:28:54Z</dcterms:modified>
  <dc:title>Основы кибербезопасности</dc:title>
  <dc:description/>
</cp:coreProperties>
</file>