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«Академия Информационных Технологий»</w:t>
      </w:r>
    </w:p>
    <w:p>
      <w:pPr>
        <w:spacing w:before="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___________________________________________</w:t>
      </w:r>
    </w:p>
    <w:p>
      <w:pPr>
        <w:spacing w:before="0" w:after="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ОГРН: 1230600003457, ИНН/КПП: 0600010064/060001001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0"/>
        </w:rPr>
        <w:t>Российская Федерация, 386001, Республика Ингушетия, г. Магас, ул. Н.С. Хрущева, д. 10</w:t>
      </w:r>
    </w:p>
    <w:p>
      <w:pPr>
        <w:spacing w:before="0" w:after="6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/>
        </w:rPr>
        <w:t>УТВЕРЖДЕНО</w:t>
      </w:r>
    </w:p>
    <w:p>
      <w:pPr>
        <w:spacing w:before="0" w:after="60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Приказом № ____-ОБР от «___» __________ 20__ г.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ДОПОЛНИТЕЛЬНАЯ ПРОФЕССИОНАЛЬНАЯ ПРОГРАММА</w:t>
      </w:r>
    </w:p>
    <w:p>
      <w:pPr>
        <w:spacing w:before="0" w:after="4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ПОВЫШЕНИЯ КВАЛИФИКАЦИИ В ФОРМЕ СТАЖИРОВКИ</w:t>
      </w:r>
    </w:p>
    <w:p>
      <w:pPr>
        <w:spacing w:before="0" w:after="16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«DevOps-инженер от Linux до CI/CD»</w:t>
      </w:r>
    </w:p>
    <w:p>
      <w:pPr>
        <w:spacing w:before="4600" w:after="8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Магас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</w:rPr>
        <w:t>2026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ОБЩАЯ ХАРАКТЕРИСТИКА ДОПОЛНИТЕЛЬНОЙ ПРОФЕССИОНАЛЬНОЙ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1.1. Аннотация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«DevOps-инженер от Linux до CI/CD» адресована: специалисты, проходящие стажировку в ИТ-компаниях региона. Слушатели осваивают инструменты и приёмы, которые сразу применяют в своей работе, выполняют практические задания на материале своей сферы и завершают обучение итоговой работой.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1.2. Цель реализации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Совершенствовать компетенции специалистов в администрировании инфраструктуры и автоматизации поставки программного обеспечения — от Linux до непрерывной интеграции и доставки — в ходе стажировки в ИТ-компании.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Программа направлена на совершенствование профессиональных компетенций, необходимых для выполнения трудовых функций: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B/02.5 Обеспечение работы технических и программных средств информационно-коммуникационных систем (профессиональный стандарт 06.026)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B/04.5 Внесение изменений в технические и программные средства информационно-коммуникационных систем по утвержденному плану работ (профессиональный стандарт 06.026)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1.3. Планируемые результаты обучения</w:t>
      </w:r>
    </w:p>
    <w:tbl>
      <w:tblPr>
        <w:tblLook w:firstColumn="1" w:firstRow="1" w:lastColumn="0" w:lastRow="0" w:noHBand="0" w:noVBand="1" w:val="04A0"/>
        <w:tblW w:w="977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50"/>
        <w:gridCol w:w="1960"/>
        <w:gridCol w:w="2020"/>
        <w:gridCol w:w="2020"/>
        <w:gridCol w:w="2020"/>
      </w:tblGrid>
      <w:tr>
        <w:trPr>
          <w:tblHeader/>
        </w:trPr>
        <w:tc>
          <w:tcPr>
            <w:tcW w:type="dxa" w:w="17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Виды деятельности</w:t>
            </w:r>
          </w:p>
        </w:tc>
        <w:tc>
          <w:tcPr>
            <w:tcW w:type="dxa" w:w="196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Профессиональные компетенции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Практический опыт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Умения</w:t>
            </w:r>
          </w:p>
        </w:tc>
        <w:tc>
          <w:tcPr>
            <w:tcW w:type="dxa" w:w="202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Знания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систем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Администрировать серверы и сетевые службы на Linux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диагностики неполадок сервера и сети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настраивать сервер, пользователей, службы и сетевой доступ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устройство Linux и основных сетевых служб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систем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Автоматизировать сборку и развёртывание приложений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автоматизации выпуска версий приложения в компании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собирать образы контейнеров и настраивать конвейер сборки и развёртывания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принципы контейнеризации, непрерывной интеграции и описания инфраструктуры кодом</w:t>
            </w:r>
          </w:p>
        </w:tc>
      </w:tr>
      <w:tr>
        <w:tc>
          <w:tcPr>
            <w:tcW w:type="dxa" w:w="17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систем</w:t>
            </w:r>
          </w:p>
        </w:tc>
        <w:tc>
          <w:tcPr>
            <w:tcW w:type="dxa" w:w="196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Сопровождать инфраструктуру и контролировать её работу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Владеть навыком подготовки отчёта о работе инфраструктуры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Уметь настраивать сбор метрик, журналов и оповещений</w:t>
            </w:r>
          </w:p>
        </w:tc>
        <w:tc>
          <w:tcPr>
            <w:tcW w:type="dxa" w:w="2020"/>
          </w:tcPr>
          <w:p>
            <w:pPr>
              <w:numPr>
                <w:ilvl w:val="0"/>
                <w:numId w:val="5"/>
              </w:num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Знать подходы к мониторингу и резервному копированию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1.4. Программа разработана на основе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Профессиональный стандарт 06.026 «Системный администратор информационно-коммуникационных систем», приказ Минтруда России от 29.09.2020 № 680н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1.5. Перечень профессиональных компетенций в рамках имеющейся квалификации, качественное изменение которых осуществляется в результате обучения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ПК-1. Администрировать серверы и сетевые службы на Linux (трудовые функции: B/02.5)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ПК-2. Автоматизировать сборку и развёртывание приложений (трудовые функции: B/04.5)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ПК-3. Сопровождать инфраструктуру и контролировать её работу (трудовые функции: B/02.5)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1.6. Требования к слушателям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освоению программы допускаются лица, имеющие среднее профессиональное и (или) высшее образование, а также лица, получающие среднее профессиональное и (или) высшее образование.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специалисты, проходящие стажировку в ИТ-компаниях региона. Специальной подготовки не требуется сверх указанной в программе.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слушателей: </w:t>
      </w:r>
      <w:r>
        <w:rPr>
          <w:rFonts w:ascii="Times New Roman" w:hAnsi="Times New Roman" w:eastAsia="Times New Roman" w:cs="Times New Roman"/>
          <w:b w:val="0"/>
        </w:rPr>
        <w:t>специалисты, проходящие стажировку в ИТ-компаниях региона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1.7. Форма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обучения — очная. Программа реализуется в форме стажировки.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1.8. Объём программы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Объём программы — 256 часов, в том числе: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контактная работа (лекции, практические и лабораторные занятия) — 0 часов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самостоятельная работа слушателей — 254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итоговая аттестация — 2 часа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срок обучения — 11 нед. (64 учебных дн.), не более 4 часа в день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1.9. Выдаваемый документ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Удостоверение о повышении квалификации установленного образца. Документ выдаётся лицам, успешно освоившим программу и прошедшим итоговую аттестацию.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4"/>
        <w:gridCol w:w="1947"/>
        <w:gridCol w:w="1939"/>
        <w:gridCol w:w="841"/>
        <w:gridCol w:w="842"/>
        <w:gridCol w:w="841"/>
        <w:gridCol w:w="842"/>
        <w:gridCol w:w="1842"/>
      </w:tblGrid>
      <w:tr>
        <w:trPr>
          <w:tblHeader/>
        </w:trPr>
        <w:tc>
          <w:tcPr>
            <w:tcW w:type="dxa" w:w="54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194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 программы</w:t>
            </w:r>
          </w:p>
        </w:tc>
        <w:tc>
          <w:tcPr>
            <w:tcW w:type="dxa" w:w="193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41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аттестации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Администрирование Linux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Сети и сетевые службы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Контейнеризация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Непрерывная интеграция и доставка (CI/CD)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Инфраструктура как код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54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</w:t>
            </w:r>
          </w:p>
        </w:tc>
        <w:tc>
          <w:tcPr>
            <w:tcW w:type="dxa" w:w="194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Мониторинг и сопровождение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отчёта</w:t>
            </w:r>
          </w:p>
        </w:tc>
      </w:tr>
      <w:tr>
        <w:tc>
          <w:tcPr>
            <w:tcW w:type="dxa" w:w="2491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9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42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254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40"/>
        <w:gridCol w:w="2008"/>
        <w:gridCol w:w="1748"/>
        <w:gridCol w:w="850"/>
        <w:gridCol w:w="850"/>
        <w:gridCol w:w="850"/>
        <w:gridCol w:w="850"/>
        <w:gridCol w:w="1842"/>
      </w:tblGrid>
      <w:tr>
        <w:trPr>
          <w:tblHeader/>
        </w:trPr>
        <w:tc>
          <w:tcPr>
            <w:tcW w:type="dxa" w:w="6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 п/п</w:t>
            </w:r>
          </w:p>
        </w:tc>
        <w:tc>
          <w:tcPr>
            <w:tcW w:type="dxa" w:w="200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разделов, тем программы</w:t>
            </w:r>
          </w:p>
        </w:tc>
        <w:tc>
          <w:tcPr>
            <w:tcW w:type="dxa" w:w="174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Трудоёмкость, всего (час.)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85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(час.)</w:t>
            </w:r>
          </w:p>
        </w:tc>
        <w:tc>
          <w:tcPr>
            <w:tcW w:type="dxa" w:w="184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Форма контроля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Администрирование Linux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Командная строка и файловая система Linux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Пользователи, права и процессы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Пакеты, службы и журналы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Скрипты для рутинных задач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Сети и сетевые службы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Адресация и маршрутизация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Службы имён и распределение адресов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Балансировка нагрузки и обратный прокси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Диагностика сетевых неполадок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Контейнеризация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Контейнеры: образы и запуск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Сборка образов приложений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Оркестрация контейнеров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Хранение данных и сети контейнеров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Непрерывная интеграция и доставка (CI/CD)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53,5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53,5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Системы контроля версий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Конвейер сборки и тестирования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Автоматическое развёртывание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Выпуск и откат версий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Инфраструктура как код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Подходы к описанию инфраструктуры кодом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Описание облачных ресурсов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Автоматическая настройка серверов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Хранение и проверка конфигураций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6.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Мониторинг и сопровождение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 с руководителем стажировки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Метрики и мониторинг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6.2.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Журналы и оповещения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6.3.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Резервное копирование и восстановление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6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6.4.</w:t>
            </w:r>
          </w:p>
        </w:tc>
        <w:tc>
          <w:tcPr>
            <w:tcW w:type="dxa" w:w="200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Подготовка отчёта о стажировке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отчёт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отчёта</w:t>
            </w:r>
          </w:p>
        </w:tc>
      </w:tr>
      <w:tr>
        <w:tc>
          <w:tcPr>
            <w:tcW w:type="dxa" w:w="2648"/>
            <w:gridSpan w:val="2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74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254</w:t>
            </w:r>
          </w:p>
        </w:tc>
        <w:tc>
          <w:tcPr>
            <w:tcW w:type="dxa" w:w="184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2.3. Календарный учебный график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Срок обучения — 11 нед., 64 учебных дн., не более 4 часа в день. Даты начала и окончания обучения устанавливаются приказом о зачислении слушателей.</w:t>
      </w:r>
    </w:p>
    <w:tbl>
      <w:tblPr>
        <w:tblLook w:firstColumn="1" w:firstRow="1" w:lastColumn="0" w:lastRow="0" w:noHBand="0" w:noVBand="1" w:val="04A0"/>
        <w:tblW w:w="963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00"/>
        <w:gridCol w:w="1300"/>
        <w:gridCol w:w="5638"/>
        <w:gridCol w:w="1600"/>
      </w:tblGrid>
      <w:tr>
        <w:trPr>
          <w:tblHeader/>
        </w:trPr>
        <w:tc>
          <w:tcPr>
            <w:tcW w:type="dxa" w:w="11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Неделя</w:t>
            </w:r>
          </w:p>
        </w:tc>
        <w:tc>
          <w:tcPr>
            <w:tcW w:type="dxa" w:w="13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Учебные дни</w:t>
            </w:r>
          </w:p>
        </w:tc>
        <w:tc>
          <w:tcPr>
            <w:tcW w:type="dxa" w:w="5638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Разделы и темы</w:t>
            </w:r>
          </w:p>
        </w:tc>
        <w:tc>
          <w:tcPr>
            <w:tcW w:type="dxa" w:w="16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1.1, Тема 1.2, Тема 1.3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1.3, Тема 1.4, Тема 2.1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2.1, Тема 2.2, Тема 2.3, Тема 2.4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2.4, Тема 3.1, Тема 3.2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3.2, Тема 3.3, Тема 3.4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3.4, Тема 4.1, Тема 4.2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4.2, Тема 4.3, Тема 4.4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4.4, Тема 5.1, Тема 5.2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5.2, Тема 5.3, Тема 5.4, Тема 6.1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6.1, Тема 6.2, Тема 6.3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563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Тема 6.3, Тема 6.4,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8038"/>
            <w:gridSpan w:val="3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(час.)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2.4. Рабочая программа</w:t>
      </w:r>
    </w:p>
    <w:tbl>
      <w:tblPr>
        <w:tblLook w:firstColumn="1" w:firstRow="1" w:lastColumn="0" w:lastRow="0" w:noHBand="0" w:noVBand="1" w:val="04A0"/>
        <w:tblW w:w="9640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00"/>
        <w:gridCol w:w="5200"/>
        <w:gridCol w:w="1040"/>
      </w:tblGrid>
      <w:tr>
        <w:trPr>
          <w:tblHeader/>
        </w:trPr>
        <w:tc>
          <w:tcPr>
            <w:tcW w:type="dxa" w:w="34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компонентов программы</w:t>
            </w:r>
          </w:p>
        </w:tc>
        <w:tc>
          <w:tcPr>
            <w:tcW w:type="dxa" w:w="5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 (час.)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1. Администрирование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1.1. Командная строка и файловая система Linux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«Командная строка и файловая система Linux»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командная строка и файловая система linux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командная строка и файловая система linux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1.2. Пользователи, права и процессы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«Пользователи, права и процессы»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пользователи, права и процессы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пользователи, права и процессы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1.3. Пакеты, службы и журналы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«Пакеты, службы и журналы»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пакеты, службы и журналы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пакеты, службы и журналы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1.4. Скрипты для рутинных задач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«Скрипты для рутинных задач»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скрипты для рутинных задач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скрипты для рутинных задач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2. Сети и сетевые службы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2.1. Адресация и маршрутизация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«Адресация и маршрутизация»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адресация и маршрутизация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адресация и маршрутизация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2.2. Службы имён и распределение адресов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«Службы имён и распределение адресов»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службы имён и распределение адресов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службы имён и распределение адресов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2.3. Балансировка нагрузки и обратный прокси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«Балансировка нагрузки и обратный прокси»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балансировка нагрузки и обратный прокси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балансировка нагрузки и обратный прокси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2.4. Диагностика сетевых неполадок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«Диагностика сетевых неполадок»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диагностика сетевых неполадок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диагностика сетевых неполадок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3. Контейнеризация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3.1. Контейнеры: образы и запуск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(9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«Контейнеры: образы и запуск»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контейнеры: образы и запуск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контейнеры: образы и запуск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3.2. Сборка образов приложений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(9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«Сборка образов приложений»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сборка образов приложений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сборка образов приложений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3.3. Оркестрация контейнеров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(13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«Оркестрация контейнеров»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оркестрация контейнеров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оркестрация контейнеров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3.4. Хранение данных и сети контейнеров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(9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«Хранение данных и сети контейнеров»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хранение данных и сети контейнеров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хранение данных и сети контейнеров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4. Непрерывная интеграция и доставка (CI/CD)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53,5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4.1. Системы контроля версий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(11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«Системы контроля версий»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системы контроля версий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системы контроля версий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4.2. Конвейер сборки и тестирования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(16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«Конвейер сборки и тестирования»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конвейер сборки и тестирования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конвейер сборки и тестирования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4.3. Автоматическое развёртывание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(16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«Автоматическое развёртывание»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автоматическое развёртывание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автоматическое развёртывание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4.4. Выпуск и откат версий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(10,5 часа):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«Выпуск и откат версий»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выпуск и откат версий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выпуск и откат версий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5. Инфраструктура как код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5.1. Подходы к описанию инфраструктуры кодом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(8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«Подходы к описанию инфраструктуры кодом»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подходы к описанию инфраструктуры кодом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подходы к описанию инфраструктуры кодом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5.2. Описание облачных ресурсов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(12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«Описание облачных ресурсов»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описание облачных ресурсов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описание облачных ресурсов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5.3. Автоматическая настройка серверов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(12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«Автоматическая настройка серверов»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автоматическая настройка серверов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автоматическая настройка серверов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5.4. Хранение и проверка конфигураций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(8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«Хранение и проверка конфигураций»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хранение и проверка конфигураций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хранение и проверка конфигураций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8600"/>
            <w:gridSpan w:val="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6. Мониторинг и сопровождение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40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6.1. Метрики и мониторинг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«Метрики и мониторинг»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метрики и мониторинг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метрики и мониторинг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6.2. Журналы и оповещения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«Журналы и оповещения»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журналы и оповещения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журналы и оповещения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6.3. Резервное копирование и восстановление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«Резервное копирование и восстановление»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резервное копирование и восстановление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резервное копирование и восстановление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6.4. Подготовка отчёта о стажировке</w:t>
            </w:r>
          </w:p>
        </w:tc>
        <w:tc>
          <w:tcPr>
            <w:tcW w:type="dxa" w:w="5200"/>
          </w:tcPr>
          <w:p>
            <w:pPr>
              <w:spacing w:before="0" w:after="6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 (10 часов):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Изучение материалов по теме «Подготовка отчёта о стажировке»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Подготовка к обсуждению: подготовка отчёта о стажировке</w:t>
            </w:r>
          </w:p>
          <w:p>
            <w:pPr>
              <w:numPr>
                <w:ilvl w:val="0"/>
                <w:numId w:val="5"/>
              </w:numPr>
              <w:spacing w:before="0" w:after="2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>Выполнение домашнего задания: подготовка отчёта о стажировке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занимает 2 часа и проходит в форме защиты отчёта о стажировке.</w:t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3400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52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</w:tr>
    </w:tbl>
    <w:p>
      <w:pPr>
        <w:spacing w:before="0" w:after="120"/>
        <w:ind w:firstLine="0"/>
      </w:pP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 Оценка качества освоения программы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Качество освоения программы оценивается в ходе текущего контроля по разделам и на итоговой аттестации. К итоговой аттестации допускаются слушатели, выполнившие все задания текущего контроля.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2.5.1. Формы текущего контроля и итоговой аттестации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Текущий контроль по разделам программы: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1. «Администрирование Linux»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2. «Сети и сетевые службы»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3. «Контейнеризация»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4. «Непрерывная интеграция и доставка (CI/CD)»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5. «Инфраструктура как код» — Собеседование с руководителем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раздел 6. «Мониторинг и сопровождение» — Собеседование с руководителем стажировки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— защита отчёта (2 часа). Зачтено — не меньше 6 баллов из 10.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Результат итоговой аттестации — «зачтено» или «не зачтено».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2.5.2. Оценочные материалы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Оценочные материалы текущего контроля приведены в Приложении 1, оценочные материалы итоговой аттестации — в Приложении 2.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2.5.3. Анализ удовлетворённости слушателей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После завершения обучения слушатели заполняют анонимную анкету об удовлетворённости содержанием, организацией и работой преподавателей; результаты учитываются при обновлении программы.</w:t>
      </w:r>
    </w:p>
    <w:p>
      <w:pPr>
        <w:pStyle w:val="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Материально-техническое обеспечение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Учебно-методическое и информационное обеспечение программы включает: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3.2.1. Нормативно-правовые документы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Федеральный закон от 29.12.2012 № 273-ФЗ «Об образовании в Российской Федерации»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Приказ Минобрнауки России от 24.03.2025 № 266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Профессиональный стандарт 06.026 «Системный администратор информационно-коммуникационных систем», приказ Минтруда России от 29.09.2020 № 680н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3.2.2. Основная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Чакон С., Штрауб Б. Git для профессионального программиста : подробное описание самой популярной системы контроля версий. — Питер, 2021. — ISBN 978-5-4461-1131-2. — URL: https://rusneb.ru/catalog/000199_000009_010679181/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Шоттс У. Командная строка Linux : полное руководство. — Питер, 2020. — ISBN 978-5-4461-1430-6. — URL: https://rusneb.ru/catalog/000199_000009_010091701/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Свейгарт Э. Автоматизация рутинных задач с помощью Python : практическое руководство для начинающих. — Диалектика, 2021. — ISBN 978-5-907365-55-1. — URL: https://rusneb.ru/catalog/000199_000009_010800850/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3.2.3. Дополнительная литература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Лукша М. Kubernetes в действии. — ДМК Пресс, 2019. — ISBN 978-5-97060-642-1. — URL: https://rusneb.ru/catalog/000199_000009_010418305/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Ким Д., Дебуа П., Уиллис Д., Хамбл Д. Руководство по DevOps : как добиться гибкости, надежности и безопасности мирового уровня в технологических компаниях. — Манн, Иванов и Фербер, 2018. — ISBN 978-5-00100-750-0. — URL: https://rusneb.ru/catalog/000199_000009_009773664/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Баланов А. Н. DevOps: интеграция и автоматизация : учебное пособие. — Лань, 2026. — ISBN 978-5-507-54640-4. — URL: https://rusneb.ru/catalog/000199_000009_015155594/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3.2.4. Интернет-ресурсы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Чакон С., Штрауб Б. Pro Git (2-е издание, русский перевод). — 2014. — URL: https://git-scm.com/book/ru/v2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Справочный центр Astra Linux (Wiki-библиотека). — URL: https://wiki.astralinux.ru/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Документация ALT Linux Team. — URL: https://docs.altlinux.org/ru-RU/index.html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3.2.5. Программное обеспечение и информационные системы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nginx (версия 1.30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Docker (версия 25.0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Kubernetes (версия 1.34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Git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Terraform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Ansible (версия 2.19 и новее)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7. МойОфис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8. Браузер Яндекс Браузер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9. Система дистанционного обучения Moodle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3.3. Организация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Занятия проводятся по учебному плану и календарному графику. Практические задания выполняются на занятиях и самостоятельно, результаты проверяет преподаватель.</w:t>
      </w:r>
    </w:p>
    <w:p>
      <w:pPr>
        <w:pStyle w:val="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образовательного процесса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Руководитель стажировки: </w:t>
      </w:r>
      <w:r>
        <w:rPr>
          <w:rFonts w:ascii="Times New Roman" w:hAnsi="Times New Roman" w:eastAsia="Times New Roman" w:cs="Times New Roman"/>
          <w:b w:val="0"/>
        </w:rPr>
        <w:t>____ (ФИО), ____ (должность)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1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текущего контроля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1. Администрирование Linux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«Администрирование Linux»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«Администрирование Linux»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«Администрирование Linux»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2. Сети и сетевые службы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«Сети и сетевые службы»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«Сети и сетевые службы»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«Сети и сетевые службы»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3. Контейнеризация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«Контейнеризация»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«Контейнеризация»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«Контейнеризация»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4. Непрерывная интеграция и доставка (CI/CD)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«Непрерывная интеграция и доставка (CI/CD)»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«Непрерывная интеграция и доставка (CI/CD)»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«Непрерывная интеграция и доставка (CI/CD)»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5. Инфраструктура как код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«Инфраструктура как код»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«Инфраструктура как код»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«Инфраструктура как код»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Раздел 6. Мониторинг и сопровождение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Собеседование с руководителем стажировки.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Вопросы для собеседования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Расскажите, как вы применяли на практике материал модуля «Мониторинг и сопровождение» (вопрос 1).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Расскажите, как вы применяли на практике материал модуля «Мониторинг и сопровождение» (вопрос 2).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Расскажите, как вы применяли на практике материал модуля «Мониторинг и сопровождение» (вопрос 3).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Что должно прозвучать в ответе: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Пример из работы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Какие приёмы применены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Какой получен результат</w:t>
      </w:r>
    </w:p>
    <w:p>
      <w:pPr>
        <w:spacing w:before="0" w:after="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оценки: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Ответ опирается на собственный опыт стажировки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2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 итоговой аттестации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защита отчёта, 2 часа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Итоговая аттестация занимает 2 часа и проходит в форме защиты отчёта о стажировке.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ИТ-компания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Требования к отчёту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Титульный лист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Введение: цель и задачи стажировки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Описание места стажировки и выполненных работ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Результаты по каждому модулю программы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Выводы и предложения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Отзыв руководителя стажировки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679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79"/>
        <w:gridCol w:w="2200"/>
      </w:tblGrid>
      <w:tr>
        <w:trPr>
          <w:tblHeader/>
        </w:trPr>
        <w:tc>
          <w:tcPr>
            <w:tcW w:type="dxa" w:w="747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200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Максимальный балл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7479"/>
            <w:shd w:val="clear" w:color="auto" w:fill="F2F2F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pStyle w:val="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3</w:t>
      </w:r>
    </w:p>
    <w:p>
      <w:pPr>
        <w:keepNext/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нет; 3 предупреждения методисту и 3 замечания автопроверки — см. ниже. В приложенном образце найдено ошибок: 15; в программу они не перенесены. Пояснения к сборке — в разделе «Что пропущено и почему».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методисту (с вариантами решения): 3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замечания автопроверки (стоит проверить): 3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256 ч, собрано 256 ч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время сборки комплекта после утверждения каркаса: 1 с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Предупреждения методисту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Здесь — ситуации, где нужно решение методиста или заказчика: агент нашёл их сам по общим правилам. У каждого предупреждения — цифры и варианты решения.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1. Желаемый срок не сходится с нагрузкой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Желаемый срок — около двух месяцев (≈ 9 недель) — не сходится с нагрузкой: при объёме 256 ч и не больше 4 ч в день получается 64 учебных дня — это 11 недель даже при 6 учебных днях в неделю. Чтобы уложиться в 9 недель, нужно около 5 ч в день при 6 учебных днях в неделю; другой вариант — срок 11 недель. В программу и календарный график записан расчётный срок — 11 недель.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Цифры: Желаемый срок — около двух месяцев (≈ 9 недель); Объём программы — 256 ч; Нагрузка — не больше 4 ч в день, до 6 учебных дней в неделю; Нужно учебных дней — 64; Расчётный срок — 11 недель.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Принять расчётный срок — 11 недель: он уже записан в программу и календарный график.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Увеличить нагрузку до 5 ч в день при 6 учебных днях в неделю — тогда хватит 9 недель.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Сократить объём программы до 216 ч — столько помещается в 9 недель при 4 ч в день и 6 учебных днях в неделю.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2. Ошибки в приложенном образце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приложенном образце найдено 15 расхождений: часы рабочей программы не совпадают с учебно-тематическим планом — 5; суммы и итоги часов в учебных планах — 4; ссылки на нормативные акты (утратившие силу или с неверной датой) — 2; строки с часами, не разнесёнными по видам работы — 1; разные обозначения лабораторных работ — 1; аудиторные часы в стажировке — 1; заполненные реквизиты приказа об утверждении — 1. В новой программе они не повторяются; формулировки с цитатами образца — в полной версии отчёта (report.md).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Ничего менять в новой программе не нужно: она собрана заново по шаблону, часы посчитаны программой, и ошибки образца в неё не перенесены.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Передайте список расхождений автору образца — он в полной версии отчёта (report.md), раздел «Ошибки приложенного образца».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Если образец — действующая программа организации, исправьте его, прежде чем использовать снова.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3. Акт из задания утратил силу — в программе указан действующий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 программе указан действующий акт — Приказ Минобрнауки России от 24.03.2025 № 266 (действует с 01.09.2025). Прежний акт, на который могут ссылаться задание и старые образцы, утратил силу и в программу не включён.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</w:rPr>
        <w:t>Варианты решения: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Ничего менять в программе не нужно — в ней указан действующий акт.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Обновите ссылку в задании и шаблонах организации: Приказ Минобрнауки России от 24.03.2025 № 266.</w:t>
      </w:r>
    </w:p>
    <w:p>
      <w:pPr>
        <w:spacing w:before="0" w:after="6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Проверьте другие программы организации, где ещё указан прежний акт.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Замечания автопроверки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материально-техническое обеспечение (3.1): «Учебная аудитория» — у стажировки нет аудиторных занятий (все часы — самостоятельная работа на рабочем месте); текст расходится с учебным планом. Как исправить: перегенерируйте этот фрагмент точечной правкой или поправьте текст вручную.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обучения 2.1 раскрывается в темах 3 модулей из 6 (модуль 3 «Контейнеризация», модуль 4 «Непрерывная интеграция и доставка (CI/CD)», модуль 5 «Инфраструктура как код»): содержание модулей повторяется. Оставьте результат в одном-двух модулях, у остальных — свои результаты. Как исправить: нужно решение методиста: поправьте текст или параметры запроса и пересоберите комплект.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обучения 2.2 раскрывается в темах 3 модулей из 6 (модуль 3 «Контейнеризация», модуль 4 «Непрерывная интеграция и доставка (CI/CD)», модуль 5 «Инфраструктура как код»): содержание модулей повторяется. Оставьте результат в одном-двух модулях, у остальных — свои результаты. Как исправить: нужно решение методиста: поправьте текст или параметры запроса и пересоберите комплект.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Заявлено 256 ч, по учебному плану 256 ч — сходится.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Аудиторных занятий нет: самостоятельная работа — 254 ч, итоговая аттестация — 2 ч.</w:t>
      </w:r>
    </w:p>
    <w:tbl>
      <w:tblPr>
        <w:tblLook w:firstColumn="1" w:firstRow="1" w:lastColumn="0" w:lastRow="0" w:noHBand="0" w:noVBand="1" w:val="04A0"/>
        <w:tblW w:w="9774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889"/>
        <w:gridCol w:w="977"/>
        <w:gridCol w:w="977"/>
        <w:gridCol w:w="977"/>
        <w:gridCol w:w="977"/>
        <w:gridCol w:w="977"/>
      </w:tblGrid>
      <w:tr>
        <w:trPr>
          <w:tblHeader/>
        </w:trPr>
        <w:tc>
          <w:tcPr>
            <w:tcW w:type="dxa" w:w="4889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Уровень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ЛК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ПР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ЛБ</w:t>
            </w:r>
          </w:p>
        </w:tc>
        <w:tc>
          <w:tcPr>
            <w:tcW w:type="dxa" w:w="977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СРС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1. Администрирование Linux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1.1. Командная строка и файловая система Linux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1.2. Пользователи, права и процессы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1.3. Пакеты, службы и журналы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1.4. Скрипты для рутинных задач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2. Сети и сетевые службы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2.1. Адресация и маршрутизация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2.2. Службы имён и распределение адресов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2.3. Балансировка нагрузки и обратный прокси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2.4. Диагностика сетевых неполадок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3. Контейнеризация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3.1. Контейнеры: образы и запуск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3.2. Сборка образов приложений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3.3. Оркестрация контейнеров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3.4. Хранение данных и сети контейнеров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4. Непрерывная интеграция и доставка (CI/CD)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4.1. Системы контроля версий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4.2. Конвейер сборки и тестирования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4.3. Автоматическое развёртывание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4.4. Выпуск и откат версий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10,5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5. Инфраструктура как код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5.1. Подходы к описанию инфраструктуры кодом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5.2. Описание облачных ресурсов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5.3. Автоматическая настройка серверов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5.4. Хранение и проверка конфигураций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Модуль 6. Мониторинг и сопровождение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6.1. Метрики и мониторинг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6.2. Журналы и оповещения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6.3. Резервное копирование и восстановление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   тема 6.4. Подготовка отчёта о стажировке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Итоговая аттестация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488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256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0</w:t>
            </w:r>
          </w:p>
        </w:tc>
        <w:tc>
          <w:tcPr>
            <w:tcW w:type="dxa" w:w="977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254</w:t>
            </w:r>
          </w:p>
        </w:tc>
      </w:tr>
    </w:tbl>
    <w:p>
      <w:pPr>
        <w:spacing w:before="0" w:after="120"/>
        <w:ind w:firstLine="0"/>
      </w:pP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1 замечание — см. выше.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 из 9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777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1504"/>
        <w:gridCol w:w="2256"/>
        <w:gridCol w:w="1504"/>
      </w:tblGrid>
      <w:tr>
        <w:trPr>
          <w:tblHeader/>
        </w:trPr>
        <w:tc>
          <w:tcPr>
            <w:tcW w:type="dxa" w:w="451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 обучения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Темы</w:t>
            </w:r>
          </w:p>
        </w:tc>
        <w:tc>
          <w:tcPr>
            <w:tcW w:type="dxa" w:w="2256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Оценочные средства</w:t>
            </w:r>
          </w:p>
        </w:tc>
        <w:tc>
          <w:tcPr>
            <w:tcW w:type="dxa" w:w="1504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Знать устройство Linux и основных сетевых служб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1.1, 2.1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Уметь настраивать сервер, пользователей, службы и сетевой доступ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1.2, 1.3, 1.4, 2.2, 2.3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Владеть навыком диагностики неполадок сервера и сети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1.4, 2.4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Знать принципы контейнеризации, непрерывной интеграции и описания инфраструктуры кодом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3.1, 4.1, 5.1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4,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Уметь собирать образы контейнеров и настраивать конвейер сборки и развёртывания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3.2, 3.3, 3.4, 4.2, 4.3, 5.2, 5.3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3,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Владеть навыком автоматизации выпуска версий приложения в компании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4.3, 4.4, 5.3, 5.4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2,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Знать подходы к мониторингу и резервному копированию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6.1, 6.3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1,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 Уметь настраивать сбор метрик, журналов и оповещений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6.1, 6.2, 6.3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1,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  <w:tr>
        <w:tc>
          <w:tcPr>
            <w:tcW w:type="dxa" w:w="4513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Владеть навыком подготовки отчёта о работе инфраструктуры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6.4</w:t>
            </w:r>
          </w:p>
        </w:tc>
        <w:tc>
          <w:tcPr>
            <w:tcW w:type="dxa" w:w="225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собеседование: 1, итоговая аттестация</w:t>
            </w:r>
          </w:p>
        </w:tc>
        <w:tc>
          <w:tcPr>
            <w:tcW w:type="dxa" w:w="15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 порядке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подтверждено: 9 (каталог проверенных изданий — 9)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1 (не прошли проверку ISBN, издательства или года — 1; сверх лимита неподтверждённых — 0)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432"/>
        <w:gridCol w:w="2173"/>
        <w:gridCol w:w="2173"/>
      </w:tblGrid>
      <w:tr>
        <w:trPr>
          <w:tblHeader/>
        </w:trPr>
        <w:tc>
          <w:tcPr>
            <w:tcW w:type="dxa" w:w="5432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Подтверждено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Без подтверждения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  <w:tr>
        <w:tc>
          <w:tcPr>
            <w:tcW w:type="dxa" w:w="5432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Заполнено 26 из 26 разделов шаблона. Все разделы шаблона заполнены.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Раздел шаблона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1.1. Аннотация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1.2. Цель реализации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1.3. Планируемые результаты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1.4. Программа разработана на основе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1.5. Перечень профессиональных компетенций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1.6. Требования к слушателям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1.7. Форма обучения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1.8. Объём программы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1.9. Выдаваемый документ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2.1. Учебный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2.2. Учебно-тематический план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2.3. Календарный учебный график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2.4. Рабочая программа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2.5.1. Формы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2.5.2. Оценочные материалы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2.5.3. Анализ удовлетворённости слушателей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3.1. Материально-техническое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3.2.1. Нормативно-правовые документы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3.2.2. Основная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3.2.3. Дополнительная литература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3.2.4. Интернет-ресурсы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3.2.5. Программное обеспечение и информационные системы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3.3. Организация образовательного процесса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3.4. Кадровое обеспечение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1. Оценочные материалы текущего контроля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Приложение 2. Оценочные материалы итоговой аттестации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заполнен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 приложенным образцом дословно совпадает 0% текста комплекта (порог — 15%): в норме. Ошибки образца в программу не переносятся.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7 из 7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778" w:type="dxa"/>
        <w:tblLayout w:type="fixed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605"/>
        <w:gridCol w:w="2173"/>
      </w:tblGrid>
      <w:tr>
        <w:trPr>
          <w:tblHeader/>
        </w:trPr>
        <w:tc>
          <w:tcPr>
            <w:tcW w:type="dxa" w:w="7605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Критерий</w:t>
            </w:r>
          </w:p>
        </w:tc>
        <w:tc>
          <w:tcPr>
            <w:tcW w:type="dxa" w:w="2173"/>
            <w:shd w:val="clear" w:color="auto" w:fill="F2F2F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Нет устаревших инструментов, версий и практик.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  <w:tr>
        <w:tc>
          <w:tcPr>
            <w:tcW w:type="dxa" w:w="760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173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пройдено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Слайды не сформированы: в программе нет лекций, к которым нужны слайды (нет теоретических занятий или они не попали в запрошенные занятия / модуль).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Тестовых вопросов в комплекте нет (текущий контроль — собеседование с руководителем стажировки), поэтому файлы тестов GIFT, Moodle XML и CSV не сформированы.</w:t>
      </w:r>
    </w:p>
    <w:p>
      <w:pPr>
        <w:numPr>
          <w:ilvl w:val="0"/>
          <w:numId w:val="4"/>
        </w:numPr>
        <w:spacing w:before="0" w:after="40" w:line="24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12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120" w:line="24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проверки, отброшенные источники и стоимость сборки. В программу они не включаются.</w:t>
      </w:r>
    </w:p>
    <w:sectPr w:rsidR="00912FE8">
      <w:pgSz w:w="11906" w:h="16838"/>
      <w:pgMar w:top="1135" w:right="851" w:bottom="1418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09C03C3" w14:textId="77777777" w:rsidR="00C15E4E" w:rsidRDefault="00C15E4E">
      <w:r>
        <w:separator/>
      </w:r>
    </w:p>
  </w:endnote>
  <w:endnote w:type="continuationSeparator" w:id="0">
    <w:p w14:paraId="15BB2700" w14:textId="77777777" w:rsidR="00C15E4E" w:rsidRDefault="00C15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3A3BD68" w14:textId="77777777" w:rsidR="00C15E4E" w:rsidRDefault="00C15E4E">
      <w:r>
        <w:separator/>
      </w:r>
    </w:p>
  </w:footnote>
  <w:footnote w:type="continuationSeparator" w:id="0">
    <w:p w14:paraId="1D70246B" w14:textId="77777777" w:rsidR="00C15E4E" w:rsidRDefault="00C15E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664AC"/>
    <w:multiLevelType w:val="hybridMultilevel"/>
    <w:tmpl w:val="C7FA537A"/>
    <w:lvl w:ilvl="0" w:tplc="069E2D4A">
      <w:start w:val="1"/>
      <w:numFmt w:val="bullet"/>
      <w:lvlText w:val="–"/>
      <w:lvlJc w:val="left"/>
      <w:pPr>
        <w:spacing w:after="40"/>
        <w:ind w:left="360" w:hanging="240"/>
      </w:pPr>
    </w:lvl>
    <w:lvl w:ilvl="1" w:tplc="E97CD804">
      <w:start w:val="1"/>
      <w:numFmt w:val="decimal"/>
      <w:lvlText w:val=""/>
      <w:lvlJc w:val="left"/>
    </w:lvl>
    <w:lvl w:ilvl="2" w:tplc="BBE6E0CA">
      <w:start w:val="1"/>
      <w:numFmt w:val="decimal"/>
      <w:lvlText w:val=""/>
      <w:lvlJc w:val="left"/>
    </w:lvl>
    <w:lvl w:ilvl="3" w:tplc="2CAAC91E">
      <w:start w:val="1"/>
      <w:numFmt w:val="decimal"/>
      <w:lvlText w:val=""/>
      <w:lvlJc w:val="left"/>
    </w:lvl>
    <w:lvl w:ilvl="4" w:tplc="413C2E5A">
      <w:start w:val="1"/>
      <w:numFmt w:val="decimal"/>
      <w:lvlText w:val=""/>
      <w:lvlJc w:val="left"/>
    </w:lvl>
    <w:lvl w:ilvl="5" w:tplc="9B2A39C0">
      <w:start w:val="1"/>
      <w:numFmt w:val="decimal"/>
      <w:lvlText w:val=""/>
      <w:lvlJc w:val="left"/>
    </w:lvl>
    <w:lvl w:ilvl="6" w:tplc="E0CE036A">
      <w:start w:val="1"/>
      <w:numFmt w:val="decimal"/>
      <w:lvlText w:val=""/>
      <w:lvlJc w:val="left"/>
    </w:lvl>
    <w:lvl w:ilvl="7" w:tplc="729E90F0">
      <w:start w:val="1"/>
      <w:numFmt w:val="decimal"/>
      <w:lvlText w:val=""/>
      <w:lvlJc w:val="left"/>
    </w:lvl>
    <w:lvl w:ilvl="8" w:tplc="EF2032BA">
      <w:start w:val="1"/>
      <w:numFmt w:val="decimal"/>
      <w:lvlText w:val=""/>
      <w:lvlJc w:val="left"/>
    </w:lvl>
  </w:abstractNum>
  <w:abstractNum w:abstractNumId="1">
    <w:nsid w:val="1D951714"/>
    <w:multiLevelType w:val="hybridMultilevel"/>
    <w:tmpl w:val="0DB41E44"/>
    <w:lvl w:ilvl="0" w:tplc="75DCF518">
      <w:start w:val="1"/>
      <w:numFmt w:val="bullet"/>
      <w:lvlText w:val="–"/>
      <w:lvlJc w:val="left"/>
      <w:pPr>
        <w:ind w:left="540" w:hanging="360"/>
      </w:pPr>
    </w:lvl>
    <w:lvl w:ilvl="1" w:tplc="5A609B10">
      <w:start w:val="1"/>
      <w:numFmt w:val="decimal"/>
      <w:lvlText w:val=""/>
      <w:lvlJc w:val="left"/>
    </w:lvl>
    <w:lvl w:ilvl="2" w:tplc="30B854EA">
      <w:start w:val="1"/>
      <w:numFmt w:val="decimal"/>
      <w:lvlText w:val=""/>
      <w:lvlJc w:val="left"/>
    </w:lvl>
    <w:lvl w:ilvl="3" w:tplc="E53A7526">
      <w:start w:val="1"/>
      <w:numFmt w:val="decimal"/>
      <w:lvlText w:val=""/>
      <w:lvlJc w:val="left"/>
    </w:lvl>
    <w:lvl w:ilvl="4" w:tplc="D3D6461A">
      <w:start w:val="1"/>
      <w:numFmt w:val="decimal"/>
      <w:lvlText w:val=""/>
      <w:lvlJc w:val="left"/>
    </w:lvl>
    <w:lvl w:ilvl="5" w:tplc="AC387B6A">
      <w:start w:val="1"/>
      <w:numFmt w:val="decimal"/>
      <w:lvlText w:val=""/>
      <w:lvlJc w:val="left"/>
    </w:lvl>
    <w:lvl w:ilvl="6" w:tplc="F77E513C">
      <w:start w:val="1"/>
      <w:numFmt w:val="decimal"/>
      <w:lvlText w:val=""/>
      <w:lvlJc w:val="left"/>
    </w:lvl>
    <w:lvl w:ilvl="7" w:tplc="F8BCC834">
      <w:start w:val="1"/>
      <w:numFmt w:val="decimal"/>
      <w:lvlText w:val=""/>
      <w:lvlJc w:val="left"/>
    </w:lvl>
    <w:lvl w:ilvl="8" w:tplc="F57C588E">
      <w:start w:val="1"/>
      <w:numFmt w:val="decimal"/>
      <w:lvlText w:val=""/>
      <w:lvlJc w:val="left"/>
    </w:lvl>
  </w:abstractNum>
  <w:abstractNum w:abstractNumId="2">
    <w:nsid w:val="47C51A0C"/>
    <w:multiLevelType w:val="hybridMultilevel"/>
    <w:tmpl w:val="C45446B4"/>
    <w:lvl w:ilvl="0" w:tplc="F064D31E">
      <w:start w:val="1"/>
      <w:numFmt w:val="bullet"/>
      <w:lvlText w:val="●"/>
      <w:lvlJc w:val="left"/>
      <w:pPr>
        <w:ind w:left="720" w:hanging="360"/>
      </w:pPr>
    </w:lvl>
    <w:lvl w:ilvl="1" w:tplc="BF14E546">
      <w:start w:val="1"/>
      <w:numFmt w:val="bullet"/>
      <w:lvlText w:val="○"/>
      <w:lvlJc w:val="left"/>
      <w:pPr>
        <w:ind w:left="1440" w:hanging="360"/>
      </w:pPr>
    </w:lvl>
    <w:lvl w:ilvl="2" w:tplc="490A767E">
      <w:start w:val="1"/>
      <w:numFmt w:val="bullet"/>
      <w:lvlText w:val="■"/>
      <w:lvlJc w:val="left"/>
      <w:pPr>
        <w:ind w:left="2160" w:hanging="360"/>
      </w:pPr>
    </w:lvl>
    <w:lvl w:ilvl="3" w:tplc="2312AF98">
      <w:start w:val="1"/>
      <w:numFmt w:val="bullet"/>
      <w:lvlText w:val="●"/>
      <w:lvlJc w:val="left"/>
      <w:pPr>
        <w:ind w:left="2880" w:hanging="360"/>
      </w:pPr>
    </w:lvl>
    <w:lvl w:ilvl="4" w:tplc="C98C9CFC">
      <w:start w:val="1"/>
      <w:numFmt w:val="bullet"/>
      <w:lvlText w:val="○"/>
      <w:lvlJc w:val="left"/>
      <w:pPr>
        <w:ind w:left="3600" w:hanging="360"/>
      </w:pPr>
    </w:lvl>
    <w:lvl w:ilvl="5" w:tplc="19122912">
      <w:start w:val="1"/>
      <w:numFmt w:val="bullet"/>
      <w:lvlText w:val="■"/>
      <w:lvlJc w:val="left"/>
      <w:pPr>
        <w:ind w:left="4320" w:hanging="360"/>
      </w:pPr>
    </w:lvl>
    <w:lvl w:ilvl="6" w:tplc="FFF636CE">
      <w:start w:val="1"/>
      <w:numFmt w:val="bullet"/>
      <w:lvlText w:val="●"/>
      <w:lvlJc w:val="left"/>
      <w:pPr>
        <w:ind w:left="5040" w:hanging="360"/>
      </w:pPr>
    </w:lvl>
    <w:lvl w:ilvl="7" w:tplc="C36EDAEA">
      <w:start w:val="1"/>
      <w:numFmt w:val="bullet"/>
      <w:lvlText w:val="●"/>
      <w:lvlJc w:val="left"/>
      <w:pPr>
        <w:ind w:left="5760" w:hanging="360"/>
      </w:pPr>
    </w:lvl>
    <w:lvl w:ilvl="8" w:tplc="E7FC6A2E">
      <w:start w:val="1"/>
      <w:numFmt w:val="bullet"/>
      <w:lvlText w:val="●"/>
      <w:lvlJc w:val="left"/>
      <w:pPr>
        <w:ind w:left="6480" w:hanging="360"/>
      </w:pPr>
    </w:lvl>
  </w:abstractNum>
  <w:abstractNum w:abstractNumId="3">
    <w:multiLevelType w:val="singleLevel"/>
    <w:lvl w:ilvl="0">
      <w:start w:val="1"/>
      <w:numFmt w:val="bullet"/>
      <w:lvlText w:val="–"/>
      <w:lvlJc w:val="left"/>
      <w:pPr>
        <w:ind w:left="538" w:hanging="358"/>
      </w:pPr>
      <w:rPr>
        <w:rFonts w:ascii="Times New Roman" w:hAnsi="Times New Roman" w:cs="Times New Roman"/>
      </w:rPr>
    </w:lvl>
  </w:abstractNum>
  <w:abstractNum w:abstractNumId="4">
    <w:multiLevelType w:val="singleLevel"/>
    <w:lvl w:ilvl="0">
      <w:start w:val="1"/>
      <w:numFmt w:val="bullet"/>
      <w:lvlText w:val="–"/>
      <w:lvlJc w:val="left"/>
      <w:pPr>
        <w:ind w:left="360" w:hanging="240"/>
      </w:pPr>
      <w:rPr>
        <w:rFonts w:ascii="Times New Roman" w:hAnsi="Times New Roman" w:cs="Times New Roman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2FE8"/>
    <w:rsid w:val="00051CDE"/>
    <w:rsid w:val="0005636E"/>
    <w:rsid w:val="00083E24"/>
    <w:rsid w:val="002505B8"/>
    <w:rsid w:val="00255203"/>
    <w:rsid w:val="002A67EE"/>
    <w:rsid w:val="00392B30"/>
    <w:rsid w:val="003B75F2"/>
    <w:rsid w:val="00537D4A"/>
    <w:rsid w:val="00912FE8"/>
    <w:rsid w:val="009363A9"/>
    <w:rsid w:val="00A007C4"/>
    <w:rsid w:val="00AC0949"/>
    <w:rsid w:val="00AC306B"/>
    <w:rsid w:val="00B91476"/>
    <w:rsid w:val="00C15E4E"/>
    <w:rsid w:val="00E74B9A"/>
    <w:rsid w:val="00EC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620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link w:val="10"/>
    <w:qFormat/>
    <w:pPr>
      <w:spacing w:before="320" w:after="160"/>
      <w:outlineLvl w:val="0"/>
    </w:pPr>
    <w:rPr>
      <w:b/>
      <w:bCs/>
      <w:sz w:val="26"/>
      <w:szCs w:val="26"/>
    </w:rPr>
  </w:style>
  <w:style w:type="paragraph" w:styleId="2">
    <w:name w:val="heading 2"/>
    <w:link w:val="20"/>
    <w:qFormat/>
    <w:pPr>
      <w:spacing w:before="240" w:after="120"/>
      <w:outlineLvl w:val="1"/>
    </w:pPr>
    <w:rPr>
      <w:b/>
      <w:bCs/>
    </w:rPr>
  </w:style>
  <w:style w:type="paragraph" w:styleId="3">
    <w:name w:val="heading 3"/>
    <w:link w:val="30"/>
    <w:qFormat/>
    <w:pPr>
      <w:outlineLvl w:val="2"/>
    </w:pPr>
    <w:rPr>
      <w:color w:val="1F4D78"/>
    </w:rPr>
  </w:style>
  <w:style w:type="paragraph" w:styleId="4">
    <w:name w:val="heading 4"/>
    <w:link w:val="40"/>
    <w:qFormat/>
    <w:pPr>
      <w:outlineLvl w:val="3"/>
    </w:pPr>
    <w:rPr>
      <w:i/>
      <w:iCs/>
      <w:color w:val="2E74B5"/>
    </w:rPr>
  </w:style>
  <w:style w:type="paragraph" w:styleId="5">
    <w:name w:val="heading 5"/>
    <w:link w:val="50"/>
    <w:qFormat/>
    <w:pPr>
      <w:outlineLvl w:val="4"/>
    </w:pPr>
    <w:rPr>
      <w:color w:val="2E74B5"/>
    </w:rPr>
  </w:style>
  <w:style w:type="paragraph" w:styleId="6">
    <w:name w:val="heading 6"/>
    <w:link w:val="60"/>
    <w:qFormat/>
    <w:pPr>
      <w:outlineLvl w:val="5"/>
    </w:pPr>
    <w:rPr>
      <w:color w:val="1F4D78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a4">
    <w:name w:val="Название Знак"/>
    <w:basedOn w:val="a0"/>
    <w:link w:val="a5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Нижний колонтитул Знак"/>
    <w:basedOn w:val="a0"/>
    <w:link w:val="ac"/>
    <w:uiPriority w:val="99"/>
  </w:style>
  <w:style w:type="paragraph" w:styleId="ae">
    <w:name w:val="caption"/>
    <w:basedOn w:val="a"/>
    <w:next w:val="a"/>
    <w:link w:val="af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азвание объекта Знак"/>
    <w:basedOn w:val="a0"/>
    <w:link w:val="ae"/>
    <w:uiPriority w:val="35"/>
    <w:rPr>
      <w:b/>
      <w:bCs/>
      <w:color w:val="5B9BD5" w:themeColor="accent1"/>
      <w:sz w:val="18"/>
      <w:szCs w:val="18"/>
    </w:rPr>
  </w:style>
  <w:style w:type="table" w:styleId="af0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OC Heading"/>
    <w:uiPriority w:val="39"/>
    <w:unhideWhenUsed/>
  </w:style>
  <w:style w:type="paragraph" w:styleId="af2">
    <w:name w:val="table of figures"/>
    <w:basedOn w:val="a"/>
    <w:next w:val="a"/>
    <w:uiPriority w:val="99"/>
    <w:unhideWhenUsed/>
  </w:style>
  <w:style w:type="paragraph" w:styleId="a5">
    <w:name w:val="Title"/>
    <w:link w:val="a4"/>
    <w:qFormat/>
    <w:rPr>
      <w:sz w:val="56"/>
      <w:szCs w:val="56"/>
    </w:rPr>
  </w:style>
  <w:style w:type="paragraph" w:customStyle="1" w:styleId="12">
    <w:name w:val="Строгий1"/>
    <w:qFormat/>
    <w:rPr>
      <w:b/>
      <w:bCs/>
    </w:rPr>
  </w:style>
  <w:style w:type="paragraph" w:styleId="af3">
    <w:name w:val="List Paragraph"/>
    <w:qFormat/>
  </w:style>
  <w:style w:type="character" w:styleId="af4">
    <w:name w:val="Hyperlink"/>
    <w:uiPriority w:val="99"/>
    <w:unhideWhenUsed/>
    <w:rPr>
      <w:color w:val="0563C1"/>
      <w:u w:val="single"/>
    </w:rPr>
  </w:style>
  <w:style w:type="character" w:styleId="af5">
    <w:name w:val="footnote reference"/>
    <w:uiPriority w:val="99"/>
    <w:semiHidden/>
    <w:unhideWhenUsed/>
    <w:rPr>
      <w:vertAlign w:val="superscript"/>
    </w:rPr>
  </w:style>
  <w:style w:type="paragraph" w:styleId="af6">
    <w:name w:val="footnote text"/>
    <w:link w:val="af7"/>
    <w:uiPriority w:val="99"/>
    <w:semiHidden/>
    <w:unhideWhenUsed/>
    <w:rPr>
      <w:sz w:val="20"/>
      <w:szCs w:val="20"/>
    </w:rPr>
  </w:style>
  <w:style w:type="character" w:customStyle="1" w:styleId="af7">
    <w:name w:val="Текст сноски Знак"/>
    <w:link w:val="af6"/>
    <w:uiPriority w:val="99"/>
    <w:semiHidden/>
    <w:unhideWhenUsed/>
    <w:rPr>
      <w:sz w:val="20"/>
      <w:szCs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af9">
    <w:name w:val="endnote text"/>
    <w:link w:val="afa"/>
    <w:uiPriority w:val="99"/>
    <w:semiHidden/>
    <w:unhideWhenUsed/>
    <w:rPr>
      <w:sz w:val="20"/>
      <w:szCs w:val="20"/>
    </w:rPr>
  </w:style>
  <w:style w:type="character" w:customStyle="1" w:styleId="afa">
    <w:name w:val="Текст концевой сноски Знак"/>
    <w:link w:val="af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4083</Words>
  <Characters>23277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2026-10-21T12:28:55Z</cp:lastPrinted>
  <dcterms:created xsi:type="dcterms:W3CDTF">2026-10-21T12:28:55Z</dcterms:created>
  <dcterms:modified xsi:type="dcterms:W3CDTF">2026-10-21T12:28:55Z</dcterms:modified>
  <dc:title>DevOps-инженер от Linux до CI/CD</dc:title>
  <dc:description/>
</cp:coreProperties>
</file>