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Автономная некоммерческая организация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дополнительного профессионального образования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«Академия Информационных Технологий»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___________________________________________</w:t>
      </w:r>
    </w:p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ОГРН: 1230600003457, ИНН/КПП: 0600010064/060001001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Российская Федерация, 386001, Республика Ингушетия, г. Магас, ул. Н.С. Хрущева, д. 10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/>
        </w:rPr>
        <w:t>УТВЕРЖДЕНО</w:t>
      </w:r>
    </w:p>
    <w:p>
      <w:pPr>
        <w:spacing w:before="0" w:after="60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Приказом № ____-ОБР от «___» __________ 20__ г.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ДОПОЛНИТЕЛЬНАЯ ПРОФЕССИОНАЛЬНАЯ ПРОГРАММА</w:t>
      </w:r>
    </w:p>
    <w:p>
      <w:pPr>
        <w:spacing w:before="0" w:after="4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ПОВЫШЕНИЯ КВАЛИФИКАЦИИ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«Основы кибербезопасности»</w:t>
      </w:r>
    </w:p>
    <w:p>
      <w:pPr>
        <w:spacing w:before="460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Магас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2026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1. ОБЩАЯ ХАРАКТЕРИСТИКА ДОПОЛНИТЕЛЬНОЙ ПРОФЕССИОНАЛЬНОЙ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1.1. Аннотация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«Основы кибербезопасности» адресована: студенты колледжа. Слушатели осваивают инструменты и приёмы, которые сразу применяют в своей работе, выполняют практические задания на материале своей сферы и завершают обучение итоговой работой.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1.2. Цель реализации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Сформировать у студентов колледжа начальные компетенции в области защиты информации: настройке средств защиты, мониторинге событий безопасности и разборе инцидентов.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направлена на совершенствование профессиональных компетенций, необходимых для выполнения трудовых функций: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A/01.5 Техническое обслуживание программно-аппаратных средств защиты информации в операционных системах (профессиональный стандарт 06.032)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A/02.5 Техническое обслуживание программно-аппаратных средств защиты информации в компьютерных сетях (профессиональный стандарт 06.032)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1.3. Планируемые результаты обучения</w:t>
      </w:r>
    </w:p>
    <w:tbl>
      <w:tblPr>
        <w:tblLook w:firstColumn="1" w:firstRow="1" w:lastColumn="0" w:lastRow="0" w:noHBand="0" w:noVBand="1" w:val="04A0"/>
        <w:tblW w:w="977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0"/>
        <w:gridCol w:w="1960"/>
        <w:gridCol w:w="2020"/>
        <w:gridCol w:w="2020"/>
        <w:gridCol w:w="2020"/>
      </w:tblGrid>
      <w:tr>
        <w:trPr>
          <w:tblHeader/>
        </w:trPr>
        <w:tc>
          <w:tcPr>
            <w:tcW w:type="dxa" w:w="17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Виды деятельности</w:t>
            </w:r>
          </w:p>
        </w:tc>
        <w:tc>
          <w:tcPr>
            <w:tcW w:type="dxa" w:w="196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Профессиональные компетенции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Практический опыт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Умения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Знания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информации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Настраивать базовые средства защиты информации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приёмами проверки настроек защиты на учебном стенде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настраивать базовые параметры защиты сети и операционной системы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назначение межсетевых экранов, средств защиты от вредоносного кода и систем обнаружения вторжений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информации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Выявлять и разбирать инциденты информационной безопасности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разбора простого инцидента по шагам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находить признаки атаки в журналах событий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типовые инциденты безопасности и порядок реагирования на них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информации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Применять требования к защите информации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оформления результатов проверки защищённости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оценивать угрозы для простой информационной системы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основные требования к защите информации в организации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1.4. Программа разработана на основе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Профессиональный стандарт 06.032 «Специалист по безопасности компьютерных систем и сетей», приказ Минтруда России от 14.09.2022 № 533н (действует с 01.03.2023 до 01.03.2029)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Федеральный закон от 29.12.2012 № 273-ФЗ «Об образовании в Российской Федерации»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1.5. Перечень профессиональных компетенций в рамках имеющейся квалификации, качественное изменение которых осуществляется в результате обучения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ПК-1. Настраивать базовые средства защиты информации (трудовые функции: A/01.5)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ПК-2. Выявлять и разбирать инциденты информационной безопасности (трудовые функции: A/02.5)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ПК-3. Применять требования к защите информации (трудовые функции: A/01.5)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1.6. Требования к слушателям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обучению допускаются: студенты колледжа. Специальной подготовки не требуется сверх указанной в программе.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Категория слушателей: </w:t>
      </w:r>
      <w:r>
        <w:rPr>
          <w:rFonts w:ascii="Times New Roman" w:hAnsi="Times New Roman" w:eastAsia="Times New Roman" w:cs="Times New Roman"/>
          <w:b w:val="0"/>
        </w:rPr>
        <w:t>студенты колледжа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Входной уровень: </w:t>
      </w:r>
      <w:r>
        <w:rPr>
          <w:rFonts w:ascii="Times New Roman" w:hAnsi="Times New Roman" w:eastAsia="Times New Roman" w:cs="Times New Roman"/>
          <w:b w:val="0"/>
        </w:rPr>
        <w:t>Студенты 3 курса специальности «Информационные системы и программирование», знают основы сетей и Linux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1.7. Форма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обучения — очная.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Обучение проходит по расписанию: теория сразу закрепляется практикой, на каждом занятии слушатели выполняют задание и получают обратную связь преподавателя.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1.8. Объём программы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Объём программы — 72 часа, в том числе: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контактная работа (лекции, практические и лабораторные занятия) — 63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самостоятельная работа слушателей — 7 часов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итоговая аттестация — 2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срок обучения — 4 нед. (18 учебных дн.), не более 6 часов в день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1.9. Выдаваемый документ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Удостоверение о повышении квалификации установленного образца. Документ выдаётся лицам, успешно освоившим программу и прошедшим итоговую аттестацию.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2. СОДЕРЖАНИЕ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2.1. Учебный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4"/>
        <w:gridCol w:w="1947"/>
        <w:gridCol w:w="1939"/>
        <w:gridCol w:w="841"/>
        <w:gridCol w:w="842"/>
        <w:gridCol w:w="841"/>
        <w:gridCol w:w="842"/>
        <w:gridCol w:w="1842"/>
      </w:tblGrid>
      <w:tr>
        <w:trPr>
          <w:tblHeader/>
        </w:trPr>
        <w:tc>
          <w:tcPr>
            <w:tcW w:type="dxa" w:w="54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194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 программы</w:t>
            </w:r>
          </w:p>
        </w:tc>
        <w:tc>
          <w:tcPr>
            <w:tcW w:type="dxa" w:w="193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аттестации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Основы информационной безопасности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компьютерных сетей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операционных систем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Мониторинг событий и инциденты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Практикум на учебном стенде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Экзамен с практическим заданием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17,5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29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2.2. Учебно-тематический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40"/>
        <w:gridCol w:w="2008"/>
        <w:gridCol w:w="1748"/>
        <w:gridCol w:w="850"/>
        <w:gridCol w:w="850"/>
        <w:gridCol w:w="850"/>
        <w:gridCol w:w="850"/>
        <w:gridCol w:w="1842"/>
      </w:tblGrid>
      <w:tr>
        <w:trPr>
          <w:tblHeader/>
        </w:trPr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200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разделов, тем программы</w:t>
            </w:r>
          </w:p>
        </w:tc>
        <w:tc>
          <w:tcPr>
            <w:tcW w:type="dxa" w:w="17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Основы информационной безопасности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Угрозы и уязвимости информационных систем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опрос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Требования к защите информации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Оценка рисков для информационной системы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Защита компьютерных сетей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Межсетевые экраны и сегментация сети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Защищённые протоколы и удалённый доступ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Обнаружение вторжений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Защита операционных систем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Безопасная настройка Linux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Безопасная настройка Windows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Учётные записи и разграничение доступа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Мониторинг событий и инциденты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Журналы событий и их анализ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Системы мониторинга событий безопасности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Реагирование на инциденты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кейс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Практикум на учебном стенде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Поиск уязвимостей на стенде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Разбор инцидента на стенде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лабораторная работа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Экзамен с практическим заданием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17,5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2.3. Календарный учебный график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Срок обучения — 4 нед., 18 учебных дн., не более 6 часов в день. Даты начала и окончания обучения устанавливаются приказом о зачислении слушателей.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00"/>
        <w:gridCol w:w="1300"/>
        <w:gridCol w:w="5638"/>
        <w:gridCol w:w="1600"/>
      </w:tblGrid>
      <w:tr>
        <w:trPr>
          <w:tblHeader/>
        </w:trPr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Неделя</w:t>
            </w:r>
          </w:p>
        </w:tc>
        <w:tc>
          <w:tcPr>
            <w:tcW w:type="dxa" w:w="13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Учебные дни</w:t>
            </w:r>
          </w:p>
        </w:tc>
        <w:tc>
          <w:tcPr>
            <w:tcW w:type="dxa" w:w="563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Разделы и темы</w:t>
            </w:r>
          </w:p>
        </w:tc>
        <w:tc>
          <w:tcPr>
            <w:tcW w:type="dxa" w:w="16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1.1, Тема 1.2, Тема 1.3, Тема 2.1, Тема 2.2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2.2, Тема 2.3, Тема 3.1, Тема 3.2, Тема 3.3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3.3, Тема 4.1, Тема 4.2, Тема 4.3, Тема 5.1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5.1, Тема 5.2, Итоговая аттестация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8038"/>
            <w:gridSpan w:val="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2.4. Рабочая программа</w:t>
      </w:r>
    </w:p>
    <w:tbl>
      <w:tblPr>
        <w:tblLook w:firstColumn="1" w:firstRow="1" w:lastColumn="0" w:lastRow="0" w:noHBand="0" w:noVBand="1" w:val="04A0"/>
        <w:tblW w:w="964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200"/>
        <w:gridCol w:w="1040"/>
      </w:tblGrid>
      <w:tr>
        <w:trPr>
          <w:tblHeader/>
        </w:trPr>
        <w:tc>
          <w:tcPr>
            <w:tcW w:type="dxa" w:w="34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компонентов программы</w:t>
            </w:r>
          </w:p>
        </w:tc>
        <w:tc>
          <w:tcPr>
            <w:tcW w:type="dxa" w:w="5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 (час.)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1. Основы информационной безопасности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1.1. Угрозы и уязвимости информационных систем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«Угрозы и уязвимости информационных систем»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угрозы и уязвимости информационных систем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угрозы и уязвимости информационных систем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«Угрозы и уязвимости информационных систем»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угрозы и уязвимости информационных систем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угрозы и уязвимости информационных систем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«Угрозы и уязвимости информационных систем»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угрозы и уязвимости информационных систем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угрозы и уязвимости информационных систем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1.2. Требования к защите информации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«Требования к защите информации»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требования к защите информации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требования к защите информации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«Требования к защите информации»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требования к защите информации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требования к защите информации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«Требования к защите информации»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требования к защите информации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требования к защите информации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1.3. Оценка рисков для информационной системы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«Оценка рисков для информационной системы»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оценка рисков для информационной системы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оценка рисков для информационной системы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«Оценка рисков для информационной системы»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оценка рисков для информационной системы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оценка рисков для информационной системы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«Оценка рисков для информационной системы»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оценка рисков для информационной системы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оценка рисков для информационной системы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2. Защита компьютерных сетей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2.1. Межсетевые экраны и сегментация сети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«Межсетевые экраны и сегментация 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межсетевые экраны и сегментация 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межсетевые экраны и сегментация 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«Межсетевые экраны и сегментация 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межсетевые экраны и сегментация 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межсетевые экраны и сегментация 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«Межсетевые экраны и сегментация 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межсетевые экраны и сегментация 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межсетевые экраны и сегментация 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«Межсетевые экраны и сегментация сети»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межсетевые экраны и сегментация сети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межсетевые экраны и сегментация сети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2.2. Защищённые протоколы и удалённый доступ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«Защищённые протоколы и удалённый доступ»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защищённые протоколы и удалённый доступ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защищённые протоколы и удалённый доступ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«Защищённые протоколы и удалённый доступ»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защищённые протоколы и удалённый доступ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защищённые протоколы и удалённый доступ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«Защищённые протоколы и удалённый доступ»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защищённые протоколы и удалённый доступ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защищённые протоколы и удалённый доступ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2.3. Обнаружение вторжений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«Обнаружение вторжений»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обнаружение вторжений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обнаружение вторжений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«Обнаружение вторжений»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обнаружение вторжений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обнаружение вторжений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«Обнаружение вторжений»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обнаружение вторжений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обнаружение вторжений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«Обнаружение вторжений»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обнаружение вторжений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обнаружение вторжений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3. Защита операционных систем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3.1. Безопасная настройка Linux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«Безопасная настройка Linux»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безопасная настройка linux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безопасная настройка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«Безопасная настройка Linux»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безопасная настройка linux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безопасная настройка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«Безопасная настройка Linux»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безопасная настройка linux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безопасная настройка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«Безопасная настройка Linux»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безопасная настройка linux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безопасная настройка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3.2. Безопасная настройка Windows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«Безопасная настройка Windows»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безопасная настройка windows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безопасная настройка windows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«Безопасная настройка Windows»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безопасная настройка windows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безопасная настройка windows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«Безопасная настройка Windows»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безопасная настройка windows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безопасная настройка windows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«Безопасная настройка Windows»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безопасная настройка windows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безопасная настройка windows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3.3. Учётные записи и разграничение доступа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«Учётные записи и разграничение доступа»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учётные записи и разграничение доступа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учётные записи и разграничение доступа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«Учётные записи и разграничение доступа»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учётные записи и разграничение доступа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учётные записи и разграничение доступа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«Учётные записи и разграничение доступа»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учётные записи и разграничение доступа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учётные записи и разграничение доступа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4. Мониторинг событий и инциденты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4.1. Журналы событий и их анализ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«Журналы событий и их анализ»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журналы событий и их анализ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журналы событий и их анализ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«Журналы событий и их анализ»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журналы событий и их анализ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журналы событий и их анализ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«Журналы событий и их анализ»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журналы событий и их анализ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журналы событий и их анализ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«Журналы событий и их анализ»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журналы событий и их анализ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журналы событий и их анализ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4.2. Системы мониторинга событий безопасности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«Системы мониторинга событий безопасности»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системы мониторинга событий безопасности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системы мониторинга событий безопасности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«Системы мониторинга событий безопасности»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системы мониторинга событий безопасности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системы мониторинга событий безопасности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«Системы мониторинга событий безопасности»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системы мониторинга событий безопасности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системы мониторинга событий безопасности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4.3. Реагирование на инциденты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«Реагирование на инциденты»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реагирование на инциденты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реагирование на инциденты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(3,5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«Реагирование на инциденты»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реагирование на инциденты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реагирование на инциденты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«Реагирование на инциденты»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реагирование на инциденты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реагирование на инциденты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5. Практикум на учебном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5.1. Поиск уязвимостей на стенде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«Поиск уязвимостей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поиск уязвимостей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поиск уязвимостей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«Поиск уязвимостей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поиск уязвимостей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поиск уязвимостей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«Поиск уязвимостей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поиск уязвимостей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поиск уязвимостей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«Поиск уязвимостей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поиск уязвимостей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поиск уязвимостей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5.2. Разбор инцидента на стенде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 (1 час):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Основные понятия темы «Разбор инцидента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устроено: разбор инцидента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Типичные ошибки и как их избежать: разбор инцидента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 (2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Разбор примера по теме «Разбор инцидента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задания по образцу: разбор инцидента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Самостоятельное решение задачи: разбор инцидента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 (2,5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стенда для работы «Разбор инцидента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лабораторной работы: разбор инцидента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Оформление результатов: разбор инцидента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«Разбор инцидента на стенде»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разбор инцидента на стенде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разбор инцидента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Экзамен с практическим заданием на стенде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 Оценка качества освоения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Качество освоения программы оценивается в ходе текущего контроля по разделам и на итоговой аттестации. К итоговой аттестации допускаются слушатели, выполнившие все задания текущего контроля.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2.5.1. Формы текущего контроля и итоговой аттестации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Текущий контроль по разделам программы: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1. «Основы информационной безопасности» — тест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2. «Защита компьютерных сетей»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3. «Защита операционных систем»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4. «Мониторинг событий и инциденты» — практическая работа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5. «Практикум на учебном стенде» — лабораторная работа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— экзамен с практическим заданием (2 часа). Зачтено — не меньше 6 баллов из 10.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Результат итоговой аттестации — «зачтено» или «не зачтено».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2.5.2. Оценочные материалы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Оценочные материалы текущего контроля приведены в Приложении 1, оценочные материалы итоговой аттестации — в Приложении 2.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2.5.3. Анализ удовлетворённости слушателей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После завершения обучения слушатели заполняют анонимную анкету об удовлетворённости содержанием, организацией и работой преподавателей; результаты учитываются при обновлении программы.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3. ОРГАНИЗАЦИОННО-ПЕДАГОГИЧЕСКИЕ УСЛОВИЯ РЕАЛИЗАЦИИ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3.1. Материально-техническое обеспечение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 Учебно-методическое и информационное обеспечение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Учебно-методическое и информационное обеспечение программы включает: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3.2.1. Нормативно-правовые документы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Федеральный закон от 29.12.2012 № 273-ФЗ «Об образовании в Российской Федерации»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Профессиональный стандарт 06.032 «Специалист по безопасности компьютерных систем и сетей», приказ Минтруда России от 14.09.2022 № 533н (действует с 01.03.2023 до 01.03.2029)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3.2.2. Основная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Баранова Е. К., Бабаш А. В. Информационная безопасность и защита информации : учебное пособие. — ИНФРА-М, 2026. — ISBN 978-5-16-021869-4. — URL: https://rusneb.ru/catalog/000200_000018_RU_NLR_BIBL_A_022803503/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Таненбаум Э., Фимстер Н., Уэзеролл Д. Компьютерные сети. — Питер, 2023. — ISBN 978-5-4461-1766-6. — URL: https://rusneb.ru/catalog/000200_000018_RU_NLR_BIBL_A_016354472/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Колисниченко Д. Н. Linux. Полное руководство по работе и администрированию. — Наука и техника, 2021. — ISBN 978-5-94387-608-0. — URL: https://rusneb.ru/catalog/000199_000009_010465452/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3.2.3. Дополнительная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Вовк Е. Т. Astra Linux : руководство по национальной операционной системе и совместимым офисным программам. — Манн, Иванов и Фербер, 2022. — ISBN 978-5-00195-136-0. — URL: https://rusneb.ru/catalog/000199_000009_010995796/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Олифер В. Г., Олифер Н. А. Компьютерные сети. Принципы, технологии, протоколы. — Питер, 2020. — ISBN 978-5-4461-1426-9. — URL: https://rusneb.ru/catalog/000199_000009_010313053/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Немет Э., Снайдер Г., Хейн Т. Unix и Linux : руководство системного администратора. — Диалектика, 2020. — ISBN 978-5-907144-10-1. — URL: https://rusneb.ru/catalog/000199_000009_010383262/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3.2.4. Интернет-ресурсы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Банк данных угроз безопасности информации ФСТЭК России. — URL: https://bdu.fstec.ru/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Справочный центр Astra Linux (Wiki-библиотека). — URL: https://wiki.astralinux.ru/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Документация ALT Linux Team. — URL: https://docs.altlinux.org/ru-RU/index.html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3.2.5. Программное обеспечение и информационные системы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МойОфис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Браузер Яндекс Браузер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Система дистанционного обучения Moodle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3.3. Организация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Занятия проводятся по учебному плану и календарному графику. Практические задания выполняются на занятиях и самостоятельно, результаты проверяет преподаватель.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3.4. Кадровое обеспечение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Преподаватели с высшим образованием по профилю программы и опытом практической работы в этой сфере.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Преподаватель: </w:t>
      </w:r>
      <w:r>
        <w:rPr>
          <w:rFonts w:ascii="Times New Roman" w:hAnsi="Times New Roman" w:eastAsia="Times New Roman" w:cs="Times New Roman"/>
          <w:b w:val="0"/>
        </w:rPr>
        <w:t>____ (ФИО), ____ (должность)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1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текущего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1. Основы информационной безопасности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тест.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основные требования к защите информации в организации»: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основные требования к защите информации в организации»: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оценивать угрозы для простой информационной системы»: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оценивать угрозы для простой информационной системы»: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навыком оформления результатов проверки защищённости»: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навыком оформления результатов проверки защищённости»: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Угрозы и уязвимости информационных систем» (тема 1.1)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«Угрозы и уязвимости информационных систем».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«Угрозы и уязвимости информационных систем»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Требования к защите информации» (тема 1.2)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«Требования к защите информации».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«Требования к защите информации»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Оценка рисков для информационной системы» (тема 1.3)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«Оценка рисков для информационной системы».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«Оценка рисков для информационной системы»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2. Защита компьютерных сетей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назначение межсетевых экранов, средств защиты от вредо»: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назначение межсетевых экранов, средств защиты от вредо»: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настраивать базовые параметры защиты сети и операционн»: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настраивать базовые параметры защиты сети и операционн»: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приёмами проверки настроек защиты на учебном стенде»: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приёмами проверки настроек защиты на учебном стенде»: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Межсетевые экраны и сегментация сети» (тема 2.1)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«Межсетевые экраны и сегментация сети».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«Межсетевые экраны и сегментация сети»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Защищённые протоколы и удалённый доступ» (тема 2.2)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«Защищённые протоколы и удалённый доступ».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«Защищённые протоколы и удалённый доступ»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Обнаружение вторжений» (тема 2.3)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«Обнаружение вторжений».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«Обнаружение вторжений»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3. Защита операционных систем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(2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«Уметь настраивать базовые параметры защиты сети и операционн»: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«Владеть приёмами проверки настроек защиты на учебном стенде»: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Безопасная настройка Linux» (тема 3.1)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«Безопасная настройка Linux».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«Безопасная настройка Linux»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Безопасная настройка Windows» (тема 3.2)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«Безопасная настройка Windows».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«Безопасная настройка Windows»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Учётные записи и разграничение доступа» (тема 3.3)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«Учётные записи и разграничение доступа».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«Учётные записи и разграничение доступа»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4. Мониторинг событий и инциденты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практическая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(6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«Знать типовые инциденты безопасности и порядок реагирования 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«Знать типовые инциденты безопасности и порядок реагирования 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«Уметь находить признаки атаки в журналах событий»: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«Уметь находить признаки атаки в журналах событий»: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Вопрос 5 по результату «Владеть навыком разбора простого инцидента по шагам»: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5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5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Вопрос 6 по результату «Владеть навыком разбора простого инцидента по шагам»: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Г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А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Б к вопросу 6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В к вопросу 6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в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Журналы событий и их анализ» (тема 4.1)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«Журналы событий и их анализ».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«Журналы событий и их анализ»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Системы мониторинга событий безопасности» (тема 4.2)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«Системы мониторинга событий безопасности».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«Системы мониторинга событий безопасности»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Реагирование на инциденты» (тема 4.3)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«Реагирование на инциденты».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«Реагирование на инциденты»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5. Практикум на учебном стенде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лабораторная работа.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Тест (4 вопр.). Тест считается пройденным при 70 % верных ответов.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Вопрос 1 по результату «Владеть приёмами проверки настроек защиты на учебном стенде»: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А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Б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В к вопросу 1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Г к вопросу 1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а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Вопрос 2 по результату «Уметь оценивать угрозы для простой информационной системы»: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2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2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г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Вопрос 3 по результату «Владеть навыком разбора простого инцидента по шагам»: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Б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В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Г к вопросу 3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А к вопросу 3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Вопрос 4 по результату «Владеть навыком оформления результатов проверки защищённости»: какое утверждение верно?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а) Утверждение В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б) Утверждение Г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в) Утверждение А к вопросу 4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г) Утверждение Б к вопросу 4</w:t>
      </w:r>
    </w:p>
    <w:p>
      <w:pPr>
        <w:spacing w:before="0" w:after="8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  <w:sz w:val="20"/>
        </w:rPr>
        <w:t>Ответ: б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Поиск уязвимостей на стенде» (тема 5.1)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«Поиск уязвимостей на стенде».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«Поиск уязвимостей на стенде»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Практическое задание «Практическая работа: Разбор инцидента на стенде» (тема 5.2)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Ситуация: </w:t>
      </w:r>
      <w:r>
        <w:rPr>
          <w:rFonts w:ascii="Times New Roman" w:hAnsi="Times New Roman" w:eastAsia="Times New Roman" w:cs="Times New Roman"/>
          <w:b w:val="0"/>
        </w:rPr>
        <w:t>В сфере «рабочей практики» возникла рабочая задача: рабочей практики — нужно применить приёмы темы «Разбор инцидента на стенде».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задание по теме «Разбор инцидента на стенде» на учебных данных.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Порядок выполнения: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Изучить исходные данные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Выполнить задание по шагам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Проверить результат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Оформить вывод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краткий вывод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оценивания: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Задание выполнено полностью — до 4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проверен и корректен — до 3 балл.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 обоснован — до 3 балл.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Задание зачтено при 6 баллах из 10.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2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итоговой аттестации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итоговой аттестации: </w:t>
      </w:r>
      <w:r>
        <w:rPr>
          <w:rFonts w:ascii="Times New Roman" w:hAnsi="Times New Roman" w:eastAsia="Times New Roman" w:cs="Times New Roman"/>
          <w:b w:val="0"/>
        </w:rPr>
        <w:t>экзамен с практическим заданием, 2 часа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Экзамен с практическим заданием на стенде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итоговой работе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выполняется самостоятельно по темам программы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 работы относится к сфере: рабочей практики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оформляется по шаблону и сдаётся до начала аттестации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Пример задания: Практическое задание экзамена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Среда и исходные данные: </w:t>
      </w:r>
      <w:r>
        <w:rPr>
          <w:rFonts w:ascii="Times New Roman" w:hAnsi="Times New Roman" w:eastAsia="Times New Roman" w:cs="Times New Roman"/>
          <w:b w:val="0"/>
        </w:rPr>
        <w:t>Учебный стенд с установленной программой и заранее подготовленными исходными данными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Задание: </w:t>
      </w:r>
      <w:r>
        <w:rPr>
          <w:rFonts w:ascii="Times New Roman" w:hAnsi="Times New Roman" w:eastAsia="Times New Roman" w:cs="Times New Roman"/>
          <w:b w:val="0"/>
        </w:rPr>
        <w:t>Выполнить типовую рабочую операцию из сферы «рабочей практики» и проверить результат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Результат: </w:t>
      </w:r>
      <w:r>
        <w:rPr>
          <w:rFonts w:ascii="Times New Roman" w:hAnsi="Times New Roman" w:eastAsia="Times New Roman" w:cs="Times New Roman"/>
          <w:b w:val="0"/>
        </w:rPr>
        <w:t>Файл с результатом и краткое пояснение к нему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Детализированные критерии оценки</w:t>
      </w:r>
    </w:p>
    <w:tbl>
      <w:tblPr>
        <w:tblLook w:firstColumn="1" w:firstRow="1" w:lastColumn="0" w:lastRow="0" w:noHBand="0" w:noVBand="1" w:val="04A0"/>
        <w:tblW w:w="9679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79"/>
        <w:gridCol w:w="2200"/>
      </w:tblGrid>
      <w:tr>
        <w:trPr>
          <w:tblHeader/>
        </w:trPr>
        <w:tc>
          <w:tcPr>
            <w:tcW w:type="dxa" w:w="747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Максимальный балл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Работа выполнена полностью и соответствует заданию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Решение обосновано и опирается на материал программы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Слушатель уверенно отвечает на вопросы по своей работе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Условие «зачтено»: </w:t>
      </w:r>
      <w:r>
        <w:rPr>
          <w:rFonts w:ascii="Times New Roman" w:hAnsi="Times New Roman" w:eastAsia="Times New Roman" w:cs="Times New Roman"/>
          <w:b w:val="0"/>
        </w:rPr>
        <w:t>Зачтено — не меньше 6 баллов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Процедура проведения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заранее сдаёт работу преподавателю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Представляет результат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Отвечает на вопросы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Комиссия выставляет баллы по критериям и объявляет результат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3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Отчёт автопроверки комплекта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Служебное приложение для методиста: перед утверждением программы его можно удалить. Сверка самих файлов выгрузки с комплектом выполняется после сборки документа — её итог в файлах report.md и report.json.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нет, 2 предупреждения — см. ниже.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(стоит проверить): 2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72 ч, собрано 72 ч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запросе ожидание «пойти работать». Программа на 72 часа даёт начальный уровень: «Уметь настраивать базовые параметры защиты сети и операционной системы»; «Уметь находить признаки атаки в журналах событий»; «Уметь оценивать угрозы для простой информационной системы». Этого хватит, чтобы продолжить обучение и выполнять простые задачи под руководством, но не чтобы работать специалистом самостоятельно. Для этого обычно нужны профессиональная переподготовка и практика. Проверьте, что цель и результаты программы не обещают трудоустройства, и обсудите это с заказчиком. Что можно сделать: обсудите с заказчиком: увеличить объём программы или уточнить ожидаемый результат.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72 ч, по учебному плану 72 ч — сходится.</w:t>
      </w:r>
    </w:p>
    <w:tbl>
      <w:tblPr>
        <w:tblLook w:firstColumn="1" w:firstRow="1" w:lastColumn="0" w:lastRow="0" w:noHBand="0" w:noVBand="1" w:val="04A0"/>
        <w:tblW w:w="977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89"/>
        <w:gridCol w:w="977"/>
        <w:gridCol w:w="977"/>
        <w:gridCol w:w="977"/>
        <w:gridCol w:w="977"/>
        <w:gridCol w:w="977"/>
      </w:tblGrid>
      <w:tr>
        <w:trPr>
          <w:tblHeader/>
        </w:trPr>
        <w:tc>
          <w:tcPr>
            <w:tcW w:type="dxa" w:w="488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Основы информационной безопасности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Угрозы и уязвимости информационных систем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Требования к защите информации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Оценка рисков для информационной системы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Защита компьютерных сетей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Межсетевые экраны и сегментация сети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Защищённые протоколы и удалённый доступ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Обнаружение вторжений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Защита операционных систем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Безопасная настройка Linux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Безопасная настройка Windows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3.3. Учётные записи и разграничение доступа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Мониторинг событий и инциденты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Журналы событий и их анализ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Системы мониторинга событий безопасности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4.3. Реагирование на инциденты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Практикум на учебном стенде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Поиск уязвимостей на стенде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Разбор инцидента на стенде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17,5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29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16,5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7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77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1504"/>
        <w:gridCol w:w="2256"/>
        <w:gridCol w:w="1504"/>
      </w:tblGrid>
      <w:tr>
        <w:trPr>
          <w:tblHeader/>
        </w:trPr>
        <w:tc>
          <w:tcPr>
            <w:tcW w:type="dxa" w:w="451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назначение межсетевых экранов, средств защиты от вредоносного кода и систем обнаруж…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2.1, 2.2, 2.3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настраивать базовые параметры защиты сети и операционной системы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2.1, 2.2, 3.1, 3.2, 3.3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5,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проверки настроек защиты на учебном стенде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2.3, 3.1, 3.2, 5.1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4, задания: 4,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типовые инциденты безопасности и порядок реагирования на них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находить признаки атаки в журналах событий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разбора простого инцидента по шагам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4.3, 5.2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основные требования к защите информации в организации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оценивать угрозы для простой информационной системы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1.1, 1.3, 5.1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3,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оформления результатов проверки защищённости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1.3, 5.2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3, задания: 2, ИА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 (реестр нормативки и каталог проверенных изданий): 9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0 (не прошли проверку ISBN, издательства или года — 0; сверх лимита неподтверждённых — 0)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Все разделы шаблона заполнены.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Образец к запросу не приложен — сравнивать не с чем.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Источников, предложенных моделью и не прошедших проверку: 1 — они не включены.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24, стоимость 0,00 ₽. Режим без модели: вызовы бесплатные.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2"/>
        <w:gridCol w:w="1397"/>
        <w:gridCol w:w="2095"/>
        <w:gridCol w:w="1397"/>
        <w:gridCol w:w="1397"/>
      </w:tblGrid>
      <w:tr>
        <w:trPr>
          <w:tblHeader/>
        </w:trPr>
        <w:tc>
          <w:tcPr>
            <w:tcW w:type="dxa" w:w="349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9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9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9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9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Лекции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Практические задания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9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24</w:t>
            </w:r>
          </w:p>
        </w:tc>
        <w:tc>
          <w:tcPr>
            <w:tcW w:type="dxa" w:w="209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9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Полная версия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Полная версия отчёта — файл report.md: в ней дословные формулировки замечаний к образцу, цитаты приложенного образца, комментарии смысловой проверки и отброшенные источники. В программу они не включаются.</w:t>
      </w:r>
    </w:p>
    <w:sectPr w:rsidR="00912FE8">
      <w:pgSz w:w="11906" w:h="16838"/>
      <w:pgMar w:top="1135" w:right="851" w:bottom="1418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9C03C3" w14:textId="77777777" w:rsidR="00C15E4E" w:rsidRDefault="00C15E4E">
      <w:r>
        <w:separator/>
      </w:r>
    </w:p>
  </w:endnote>
  <w:endnote w:type="continuationSeparator" w:id="0">
    <w:p w14:paraId="15BB2700" w14:textId="77777777" w:rsidR="00C15E4E" w:rsidRDefault="00C1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BD68" w14:textId="77777777" w:rsidR="00C15E4E" w:rsidRDefault="00C15E4E">
      <w:r>
        <w:separator/>
      </w:r>
    </w:p>
  </w:footnote>
  <w:footnote w:type="continuationSeparator" w:id="0">
    <w:p w14:paraId="1D70246B" w14:textId="77777777" w:rsidR="00C15E4E" w:rsidRDefault="00C15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64AC"/>
    <w:multiLevelType w:val="hybridMultilevel"/>
    <w:tmpl w:val="C7FA537A"/>
    <w:lvl w:ilvl="0" w:tplc="069E2D4A">
      <w:start w:val="1"/>
      <w:numFmt w:val="bullet"/>
      <w:lvlText w:val="–"/>
      <w:lvlJc w:val="left"/>
      <w:pPr>
        <w:spacing w:after="40"/>
        <w:ind w:left="360" w:hanging="240"/>
      </w:pPr>
    </w:lvl>
    <w:lvl w:ilvl="1" w:tplc="E97CD804">
      <w:start w:val="1"/>
      <w:numFmt w:val="decimal"/>
      <w:lvlText w:val=""/>
      <w:lvlJc w:val="left"/>
    </w:lvl>
    <w:lvl w:ilvl="2" w:tplc="BBE6E0CA">
      <w:start w:val="1"/>
      <w:numFmt w:val="decimal"/>
      <w:lvlText w:val=""/>
      <w:lvlJc w:val="left"/>
    </w:lvl>
    <w:lvl w:ilvl="3" w:tplc="2CAAC91E">
      <w:start w:val="1"/>
      <w:numFmt w:val="decimal"/>
      <w:lvlText w:val=""/>
      <w:lvlJc w:val="left"/>
    </w:lvl>
    <w:lvl w:ilvl="4" w:tplc="413C2E5A">
      <w:start w:val="1"/>
      <w:numFmt w:val="decimal"/>
      <w:lvlText w:val=""/>
      <w:lvlJc w:val="left"/>
    </w:lvl>
    <w:lvl w:ilvl="5" w:tplc="9B2A39C0">
      <w:start w:val="1"/>
      <w:numFmt w:val="decimal"/>
      <w:lvlText w:val=""/>
      <w:lvlJc w:val="left"/>
    </w:lvl>
    <w:lvl w:ilvl="6" w:tplc="E0CE036A">
      <w:start w:val="1"/>
      <w:numFmt w:val="decimal"/>
      <w:lvlText w:val=""/>
      <w:lvlJc w:val="left"/>
    </w:lvl>
    <w:lvl w:ilvl="7" w:tplc="729E90F0">
      <w:start w:val="1"/>
      <w:numFmt w:val="decimal"/>
      <w:lvlText w:val=""/>
      <w:lvlJc w:val="left"/>
    </w:lvl>
    <w:lvl w:ilvl="8" w:tplc="EF2032BA">
      <w:start w:val="1"/>
      <w:numFmt w:val="decimal"/>
      <w:lvlText w:val=""/>
      <w:lvlJc w:val="left"/>
    </w:lvl>
  </w:abstractNum>
  <w:abstractNum w:abstractNumId="1">
    <w:nsid w:val="1D951714"/>
    <w:multiLevelType w:val="hybridMultilevel"/>
    <w:tmpl w:val="0DB41E44"/>
    <w:lvl w:ilvl="0" w:tplc="75DCF518">
      <w:start w:val="1"/>
      <w:numFmt w:val="bullet"/>
      <w:lvlText w:val="–"/>
      <w:lvlJc w:val="left"/>
      <w:pPr>
        <w:ind w:left="540" w:hanging="360"/>
      </w:pPr>
    </w:lvl>
    <w:lvl w:ilvl="1" w:tplc="5A609B10">
      <w:start w:val="1"/>
      <w:numFmt w:val="decimal"/>
      <w:lvlText w:val=""/>
      <w:lvlJc w:val="left"/>
    </w:lvl>
    <w:lvl w:ilvl="2" w:tplc="30B854EA">
      <w:start w:val="1"/>
      <w:numFmt w:val="decimal"/>
      <w:lvlText w:val=""/>
      <w:lvlJc w:val="left"/>
    </w:lvl>
    <w:lvl w:ilvl="3" w:tplc="E53A7526">
      <w:start w:val="1"/>
      <w:numFmt w:val="decimal"/>
      <w:lvlText w:val=""/>
      <w:lvlJc w:val="left"/>
    </w:lvl>
    <w:lvl w:ilvl="4" w:tplc="D3D6461A">
      <w:start w:val="1"/>
      <w:numFmt w:val="decimal"/>
      <w:lvlText w:val=""/>
      <w:lvlJc w:val="left"/>
    </w:lvl>
    <w:lvl w:ilvl="5" w:tplc="AC387B6A">
      <w:start w:val="1"/>
      <w:numFmt w:val="decimal"/>
      <w:lvlText w:val=""/>
      <w:lvlJc w:val="left"/>
    </w:lvl>
    <w:lvl w:ilvl="6" w:tplc="F77E513C">
      <w:start w:val="1"/>
      <w:numFmt w:val="decimal"/>
      <w:lvlText w:val=""/>
      <w:lvlJc w:val="left"/>
    </w:lvl>
    <w:lvl w:ilvl="7" w:tplc="F8BCC834">
      <w:start w:val="1"/>
      <w:numFmt w:val="decimal"/>
      <w:lvlText w:val=""/>
      <w:lvlJc w:val="left"/>
    </w:lvl>
    <w:lvl w:ilvl="8" w:tplc="F57C588E">
      <w:start w:val="1"/>
      <w:numFmt w:val="decimal"/>
      <w:lvlText w:val=""/>
      <w:lvlJc w:val="left"/>
    </w:lvl>
  </w:abstractNum>
  <w:abstractNum w:abstractNumId="2">
    <w:nsid w:val="47C51A0C"/>
    <w:multiLevelType w:val="hybridMultilevel"/>
    <w:tmpl w:val="C45446B4"/>
    <w:lvl w:ilvl="0" w:tplc="F064D31E">
      <w:start w:val="1"/>
      <w:numFmt w:val="bullet"/>
      <w:lvlText w:val="●"/>
      <w:lvlJc w:val="left"/>
      <w:pPr>
        <w:ind w:left="720" w:hanging="360"/>
      </w:pPr>
    </w:lvl>
    <w:lvl w:ilvl="1" w:tplc="BF14E546">
      <w:start w:val="1"/>
      <w:numFmt w:val="bullet"/>
      <w:lvlText w:val="○"/>
      <w:lvlJc w:val="left"/>
      <w:pPr>
        <w:ind w:left="1440" w:hanging="360"/>
      </w:pPr>
    </w:lvl>
    <w:lvl w:ilvl="2" w:tplc="490A767E">
      <w:start w:val="1"/>
      <w:numFmt w:val="bullet"/>
      <w:lvlText w:val="■"/>
      <w:lvlJc w:val="left"/>
      <w:pPr>
        <w:ind w:left="2160" w:hanging="360"/>
      </w:pPr>
    </w:lvl>
    <w:lvl w:ilvl="3" w:tplc="2312AF98">
      <w:start w:val="1"/>
      <w:numFmt w:val="bullet"/>
      <w:lvlText w:val="●"/>
      <w:lvlJc w:val="left"/>
      <w:pPr>
        <w:ind w:left="2880" w:hanging="360"/>
      </w:pPr>
    </w:lvl>
    <w:lvl w:ilvl="4" w:tplc="C98C9CFC">
      <w:start w:val="1"/>
      <w:numFmt w:val="bullet"/>
      <w:lvlText w:val="○"/>
      <w:lvlJc w:val="left"/>
      <w:pPr>
        <w:ind w:left="3600" w:hanging="360"/>
      </w:pPr>
    </w:lvl>
    <w:lvl w:ilvl="5" w:tplc="19122912">
      <w:start w:val="1"/>
      <w:numFmt w:val="bullet"/>
      <w:lvlText w:val="■"/>
      <w:lvlJc w:val="left"/>
      <w:pPr>
        <w:ind w:left="4320" w:hanging="360"/>
      </w:pPr>
    </w:lvl>
    <w:lvl w:ilvl="6" w:tplc="FFF636CE">
      <w:start w:val="1"/>
      <w:numFmt w:val="bullet"/>
      <w:lvlText w:val="●"/>
      <w:lvlJc w:val="left"/>
      <w:pPr>
        <w:ind w:left="5040" w:hanging="360"/>
      </w:pPr>
    </w:lvl>
    <w:lvl w:ilvl="7" w:tplc="C36EDAEA">
      <w:start w:val="1"/>
      <w:numFmt w:val="bullet"/>
      <w:lvlText w:val="●"/>
      <w:lvlJc w:val="left"/>
      <w:pPr>
        <w:ind w:left="5760" w:hanging="360"/>
      </w:pPr>
    </w:lvl>
    <w:lvl w:ilvl="8" w:tplc="E7FC6A2E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4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FE8"/>
    <w:rsid w:val="00051CDE"/>
    <w:rsid w:val="0005636E"/>
    <w:rsid w:val="00083E24"/>
    <w:rsid w:val="002505B8"/>
    <w:rsid w:val="00255203"/>
    <w:rsid w:val="002A67EE"/>
    <w:rsid w:val="00392B30"/>
    <w:rsid w:val="003B75F2"/>
    <w:rsid w:val="00537D4A"/>
    <w:rsid w:val="00912FE8"/>
    <w:rsid w:val="009363A9"/>
    <w:rsid w:val="00A007C4"/>
    <w:rsid w:val="00AC0949"/>
    <w:rsid w:val="00AC306B"/>
    <w:rsid w:val="00B91476"/>
    <w:rsid w:val="00C15E4E"/>
    <w:rsid w:val="00E74B9A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2026-10-20T18:13:56Z</cp:lastPrinted>
  <dcterms:created xsi:type="dcterms:W3CDTF">2026-10-20T18:13:56Z</dcterms:created>
  <dcterms:modified xsi:type="dcterms:W3CDTF">2026-10-20T18:13:56Z</dcterms:modified>
  <dc:title>Основы кибербезопасности</dc:title>
  <dc:description/>
</cp:coreProperties>
</file>