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Автономная некоммерческая организация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дополнительного профессионального образования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«Академия Информационных Технологий»</w:t>
      </w:r>
    </w:p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___________________________________________</w:t>
      </w:r>
    </w:p>
    <w:p>
      <w:pPr>
        <w:spacing w:before="0" w:after="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ОГРН: 1230600003457, ИНН/КПП: 0600010064/060001001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Российская Федерация, 386001, Республика Ингушетия, г. Магас, ул. Н.С. Хрущева, д. 10</w:t>
      </w:r>
    </w:p>
    <w:p>
      <w:pPr>
        <w:spacing w:before="0" w:after="6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/>
        </w:rPr>
        <w:t>УТВЕРЖДЕНО</w:t>
      </w:r>
    </w:p>
    <w:p>
      <w:pPr>
        <w:spacing w:before="0" w:after="60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Приказом № ____-ОБР от «___» __________ 20__ г.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ДОПОЛНИТЕЛЬНАЯ ПРОФЕССИОНАЛЬНАЯ ПРОГРАММА</w:t>
      </w:r>
    </w:p>
    <w:p>
      <w:pPr>
        <w:spacing w:before="0" w:after="4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ПОВЫШЕНИЯ КВАЛИФИКАЦИИ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6"/>
        </w:rPr>
        <w:t>«Искусственный интеллект в работе учителя»</w:t>
      </w:r>
    </w:p>
    <w:p>
      <w:pPr>
        <w:spacing w:before="460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Магас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2026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1. ОБЩАЯ ХАРАКТЕРИСТИКА ДОПОЛНИТЕЛЬНОЙ ПРОФЕССИОНАЛЬНОЙ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1.1. Аннотация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«Искусственный интеллект в работе учителя» адресована: учителя общеобразовательных школ Ингушетии. Слушатели осваивают инструменты и приёмы, которые сразу применяют в своей работе, выполняют практические задания на материале своей сферы и завершают обучение итоговой работой.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1.2. Цель реализации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Совершенствовать компетенции учителей в подготовке уроков, заданий и проверочных работ с помощью нейросетей и в безопасном использовании искусственного интеллекта в работе с детьми.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направлена на совершенствование профессиональных компетенций, необходимых для выполнения трудовых функций: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A/01.6 Общепедагогическая функция. Обучение (профессиональный стандарт 01.001)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A/03.6 Развивающая деятельность (профессиональный стандарт 01.001)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1.3. Планируемые результаты обучения</w:t>
      </w:r>
    </w:p>
    <w:tbl>
      <w:tblPr>
        <w:tblLook w:firstColumn="1" w:firstRow="1" w:lastColumn="0" w:lastRow="0" w:noHBand="0" w:noVBand="1" w:val="04A0"/>
        <w:tblW w:w="977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50"/>
        <w:gridCol w:w="1960"/>
        <w:gridCol w:w="2020"/>
        <w:gridCol w:w="2020"/>
        <w:gridCol w:w="2020"/>
      </w:tblGrid>
      <w:tr>
        <w:trPr>
          <w:tblHeader/>
        </w:trPr>
        <w:tc>
          <w:tcPr>
            <w:tcW w:type="dxa" w:w="17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Виды деятельности</w:t>
            </w:r>
          </w:p>
        </w:tc>
        <w:tc>
          <w:tcPr>
            <w:tcW w:type="dxa" w:w="196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Профессиональные компетенции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Практический опыт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Умения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Знания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Педагогическая деятельность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Готовить планы уроков и учебные задания с помощью нейросетей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приёмами доработки материалов, созданных нейросетью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составлять запросы к нейросети для плана урока и заданий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возможности и ограничения нейросетей при подготовке к уроку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Педагогическая деятельность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Разрабатывать проверочные работы с помощью нейросетей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проверки заданий, созданных нейросетью, на ошибки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готовить проверочную работу и критерии оценки с помощью нейросети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виды проверочных работ и требования к ним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Педагогическая деятельность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Безопасно использовать сервисы ИИ в работе с детьми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правилами этичного использования ИИ на уроке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выбирать сервисы ИИ, доступные в России и безопасные для работы с детьми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риски использования ИИ в школе и правила защиты персональных данных учеников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1.4. Программа разработана на основе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Профессиональный стандарт 01.001 «Педагог (педагогическая деятельность в сфере дошкольного, начального общего, основного общего, среднего общего образования) (воспитатель, учитель)», приказ Минтруда России от 18.10.2013 № 544н (ред. от 05.08.2016)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29.12.2012 № 273-ФЗ «Об образовании в Российской Федерации»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Письмо Минобрнауки России от 21.04.2015 № ВК-1013/06 «О направлении методических рекомендаций по реализации дополнительных профессиональных программ» (вместе с «Методическими рекомендациями по реализации дополнительных профессиональных программ с использованием дистанционных образовательных технологий, электронного обучения и в сетевой форме»)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27.07.2006 № 152-ФЗ «О персональных данных»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1.5. Перечень профессиональных компетенций в рамках имеющейся квалификации, качественное изменение которых осуществляется в результате обучения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ПК-1. Готовить планы уроков и учебные задания с помощью нейросетей (трудовые функции: A/01.6)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ПК-2. Разрабатывать проверочные работы с помощью нейросетей (трудовые функции: A/01.6)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ПК-3. Безопасно использовать сервисы ИИ в работе с детьми (трудовые функции: A/03.6)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1.6. Требования к слушателям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освоению программы допускаются лица, имеющие среднее профессиональное и (или) высшее образование, а также лица, получающие среднее профессиональное и (или) высшее образование.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обучению допускаются: учителя общеобразовательных школ Ингушетии. Специальной подготовки не требуется сверх указанной в программе.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Категория слушателей: </w:t>
      </w:r>
      <w:r>
        <w:rPr>
          <w:rFonts w:ascii="Times New Roman" w:hAnsi="Times New Roman" w:eastAsia="Times New Roman" w:cs="Times New Roman"/>
          <w:b w:val="0"/>
        </w:rPr>
        <w:t>учителя общеобразовательных школ Ингушетии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1.7. Форма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обучения — очно-заочная с применением дистанционных образовательных технологий.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Обучение проходит по расписанию: теория сразу закрепляется практикой, на каждом занятии слушатели выполняют задание и получают обратную связь преподавателя.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1.8. Объём программы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Объём программы — 36 часов, в том числе: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контактная работа (лекции, практические и лабораторные занятия) — 30,5 часа, из них с применением дистанционных образовательных технологий — 15,5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самостоятельная работа слушателей — 3,5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итоговая аттестация — 2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срок обучения — 2 нед. (6 учебных дн.), не более 6 часов в день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1.9. Выдаваемый документ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Удостоверение о повышении квалификации установленного образца. Документ выдаётся лицам, успешно освоившим программу и прошедшим итоговую аттестацию.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2. СОДЕРЖАНИЕ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2.1. Учебный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4"/>
        <w:gridCol w:w="1947"/>
        <w:gridCol w:w="1939"/>
        <w:gridCol w:w="841"/>
        <w:gridCol w:w="842"/>
        <w:gridCol w:w="841"/>
        <w:gridCol w:w="842"/>
        <w:gridCol w:w="1842"/>
      </w:tblGrid>
      <w:tr>
        <w:trPr>
          <w:tblHeader/>
        </w:trPr>
        <w:tc>
          <w:tcPr>
            <w:tcW w:type="dxa" w:w="54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194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 программы</w:t>
            </w:r>
          </w:p>
        </w:tc>
        <w:tc>
          <w:tcPr>
            <w:tcW w:type="dxa" w:w="193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аттестации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Нейросети в работе учителя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Подготовка уроков и заданий с помощью ИИ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Проверочные работы и обратная связь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Риски и безопасное использование ИИ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Зачёт по портфолио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18,5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Контактная работа в очной форме и с применением дистанционных образовательных технологий: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1. Нейросети в работе учителя: очно — 2 ч, с применением ДОТ — 3,5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2. Подготовка уроков и заданий с помощью ИИ: очно — 6 ч, с применением ДОТ — 5,5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3. Проверочные работы и обратная связь: очно — 5 ч, с применением ДОТ — 3,5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4. Риски и безопасное использование ИИ: очно — 2 ч, с применением ДОТ — 3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Всего контактной работы: очно — 15 ч, с применением ДОТ — 15,5 ч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2.2. Учебно-тематический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40"/>
        <w:gridCol w:w="2008"/>
        <w:gridCol w:w="1748"/>
        <w:gridCol w:w="850"/>
        <w:gridCol w:w="850"/>
        <w:gridCol w:w="850"/>
        <w:gridCol w:w="850"/>
        <w:gridCol w:w="1842"/>
      </w:tblGrid>
      <w:tr>
        <w:trPr>
          <w:tblHeader/>
        </w:trPr>
        <w:tc>
          <w:tcPr>
            <w:tcW w:type="dxa" w:w="6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200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разделов, тем программы</w:t>
            </w:r>
          </w:p>
        </w:tc>
        <w:tc>
          <w:tcPr>
            <w:tcW w:type="dxa" w:w="174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контроля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Нейросети в работе учителя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Что умеют нейросети и где они ошибаются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опрос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Российские сервисы ИИ для учителя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Подготовка уроков и заданий с помощью ИИ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План урока с помощью нейросети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Задания и раздаточные материалы для учеников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Иллюстрации и презентации к уроку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Проверочные работы и обратная связь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9,5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Проверочные работы с помощью нейросети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Критерии оценки и проверка ответов учеников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Риски и безопасное использование ИИ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Риски ИИ и правила безопасного использования в школе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опрос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Этика и защита персональных данных учеников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кейс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Зачёт по портфолио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18,5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Контактная работа в очной форме и с применением дистанционных образовательных технологий: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1.1. Что умеют нейросети и где они ошибаются: очно — 0,5 ч, с применением ДОТ — 2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1.2. Российские сервисы ИИ для учителя: очно — 1,5 ч, с применением ДОТ — 1,5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2.1. План урока с помощью нейросети: очно — 2,5 ч, с применением ДОТ — 2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2.2. Задания и раздаточные материалы для учеников: очно — 2 ч, с применением ДОТ — 2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2.3. Иллюстрации и презентации к уроку: очно — 1,5 ч, с применением ДОТ — 1,5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3.1. Проверочные работы с помощью нейросети: очно — 3 ч, с применением ДОТ — 2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3.2. Критерии оценки и проверка ответов учеников: очно — 2 ч, с применением ДОТ — 1,5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4.1. Риски ИИ и правила безопасного использования в школе: очно — 1 ч, с применением ДОТ — 1,5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4.2. Этика и защита персональных данных учеников: очно — 1 ч, с применением ДОТ — 1,5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Всего контактной работы: очно — 15 ч, с применением ДОТ — 15,5 ч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2.3. Календарный учебный график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Срок обучения — 2 нед., 6 учебных дн., не более 6 часов в день. Даты начала и окончания обучения устанавливаются приказом о зачислении слушателей.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00"/>
        <w:gridCol w:w="1300"/>
        <w:gridCol w:w="5638"/>
        <w:gridCol w:w="1600"/>
      </w:tblGrid>
      <w:tr>
        <w:trPr>
          <w:tblHeader/>
        </w:trPr>
        <w:tc>
          <w:tcPr>
            <w:tcW w:type="dxa" w:w="11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Неделя</w:t>
            </w:r>
          </w:p>
        </w:tc>
        <w:tc>
          <w:tcPr>
            <w:tcW w:type="dxa" w:w="13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Учебные дни</w:t>
            </w:r>
          </w:p>
        </w:tc>
        <w:tc>
          <w:tcPr>
            <w:tcW w:type="dxa" w:w="563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Разделы и темы</w:t>
            </w:r>
          </w:p>
        </w:tc>
        <w:tc>
          <w:tcPr>
            <w:tcW w:type="dxa" w:w="16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1.1, Тема 1.2, Тема 2.1, Тема 2.2, Тема 2.3, Тема 3.1, Тема 3.2, Тема 4.1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4.1, Тема 4.2, Итоговая аттестация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</w:tr>
      <w:tr>
        <w:tc>
          <w:tcPr>
            <w:tcW w:type="dxa" w:w="8038"/>
            <w:gridSpan w:val="3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36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2.4. Рабочая программа</w:t>
      </w:r>
    </w:p>
    <w:tbl>
      <w:tblPr>
        <w:tblLook w:firstColumn="1" w:firstRow="1" w:lastColumn="0" w:lastRow="0" w:noHBand="0" w:noVBand="1" w:val="04A0"/>
        <w:tblW w:w="964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00"/>
        <w:gridCol w:w="5200"/>
        <w:gridCol w:w="1040"/>
      </w:tblGrid>
      <w:tr>
        <w:trPr>
          <w:tblHeader/>
        </w:trPr>
        <w:tc>
          <w:tcPr>
            <w:tcW w:type="dxa" w:w="34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компонентов программы</w:t>
            </w:r>
          </w:p>
        </w:tc>
        <w:tc>
          <w:tcPr>
            <w:tcW w:type="dxa" w:w="5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Содержание учебного материала и формы организации деятельности слушателей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 (час.)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1. Нейросети в работе учителя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1.1. Что умеют нейросети и где они ошибаются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«Что умеют нейросети и где они ошибаются»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что умеют нейросети и где они ошибаются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что умеют нейросети и где они ошибаются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«Что умеют нейросети и где они ошибаются»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что умеют нейросети и где они ошибаются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что умеют нейросети и где они ошибаются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«Что умеют нейросети и где они ошибаются»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что умеют нейросети и где они ошибаются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что умеют нейросети и где они ошибаются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1.2. Российские сервисы ИИ для учителя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«Российские сервисы ИИ для учителя»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российские сервисы ии для учителя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российские сервисы ии для учителя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«Российские сервисы ИИ для учителя»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российские сервисы ии для учителя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российские сервисы ии для учителя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2. Подготовка уроков и заданий с помощью ИИ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2.1. План урока с помощью нейросети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«План урока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план урока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план урока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«План урока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план урока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план урока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«План урока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план урока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план урока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2.2. Задания и раздаточные материалы для учеников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«Задания и раздаточные материалы для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задания и раздаточные материалы для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задания и раздаточные материалы для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«Задания и раздаточные материалы для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задания и раздаточные материалы для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задания и раздаточные материалы для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«Задания и раздаточные материалы для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задания и раздаточные материалы для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задания и раздаточные материалы для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2.3. Иллюстрации и презентации к уроку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«Иллюстрации и презентации к уроку»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иллюстрации и презентации к уроку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иллюстрации и презентации к уроку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«Иллюстрации и презентации к уроку»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иллюстрации и презентации к уроку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иллюстрации и презентации к уроку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3. Проверочные работы и обратная связь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9,5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3.1. Проверочные работы с помощью нейросети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«Проверочные работы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проверочные работы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проверочные работы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«Проверочные работы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проверочные работы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проверочные работы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«Проверочные работы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проверочные работы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проверочные работы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3.2. Критерии оценки и проверка ответов учеников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«Критерии оценки и проверка ответов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критерии оценки и проверка ответов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критерии оценки и проверка ответов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«Критерии оценки и проверка ответов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критерии оценки и проверка ответов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критерии оценки и проверка ответов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«Критерии оценки и проверка ответов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критерии оценки и проверка ответов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критерии оценки и проверка ответов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4. Риски и безопасное использование ИИ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4.1. Риски ИИ и правила безопасного использования в школе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«Риски ИИ и правила безопасного использования в школе»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риски ии и правила безопасного использования в школе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риски ии и правила безопасного использования в школе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«Риски ИИ и правила безопасного использования в школе»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риски ии и правила безопасного использования в школе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риски ии и правила безопасного использования в школе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«Риски ИИ и правила безопасного использования в школе»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риски ии и правила безопасного использования в школе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риски ии и правила безопасного использования в школе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4.2. Этика и защита персональных данных учеников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«Этика и защита персональных данных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этика и защита персональных данных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этика и защита персональных данных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«Этика и защита персональных данных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этика и защита персональных данных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этика и защита персональных данных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«Этика и защита персональных данных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этика и защита персональных данных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этика и защита персональных данных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в форме зачёта по портфолио из трёх материалов, созданных с помощью ИИ.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36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 Оценка качества освоения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Качество освоения программы оценивается в ходе текущего контроля по разделам и на итоговой аттестации. К итоговой аттестации допускаются слушатели, выполнившие все задания текущего контроля.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2.5.1. Формы текущего контроля и итоговой аттестации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Текущий контроль по разделам программы: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1. «Нейросети в работе учителя» — тест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2. «Подготовка уроков и заданий с помощью ИИ»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3. «Проверочные работы и обратная связь»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4. «Риски и безопасное использование ИИ» — тест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— зачёт по портфолио (2 часа). «Зачтено» — не меньше 6 баллов из 10 и ни по одному критерию не 0 баллов.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Результат итоговой аттестации — «зачтено» или «не зачтено».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2.5.2. Оценочные материалы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Оценочные материалы текущего контроля приведены в Приложении 1, оценочные материалы итоговой аттестации — в Приложении 2.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2.5.3. Анализ удовлетворённости слушателей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После завершения обучения слушатели заполняют анонимную анкету об удовлетворённости содержанием, организацией и работой преподавателей; результаты учитываются при обновлении программы.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3. ОРГАНИЗАЦИОННО-ПЕДАГОГИЧЕСКИЕ УСЛОВИЯ РЕАЛИЗАЦИИ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3.1. Материально-техническое обеспечение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Для занятий с применением электронного обучения и дистанционных образовательных технологий слушателям предоставляется доступ к электронной информационно-образовательной среде организации.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 Учебно-методическое и информационное обеспечение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Учебно-методическое и информационное обеспечение программы включает: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3.2.1. Нормативно-правовые документы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Федеральный закон от 29.12.2012 № 273-ФЗ «Об образовании в Российской Федерации»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Письмо Минобрнауки России от 21.04.2015 № ВК-1013/06 «О направлении методических рекомендаций по реализации дополнительных профессиональных программ» (вместе с «Методическими рекомендациями по реализации дополнительных профессиональных программ с использованием дистанционных образовательных технологий, электронного обучения и в сетевой форме»)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Федеральный закон от 27.07.2006 № 152-ФЗ «О персональных данных»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Профессиональный стандарт 01.001 «Педагог (педагогическая деятельность в сфере дошкольного, начального общего, основного общего, среднего общего образования) (воспитатель, учитель)», приказ Минтруда России от 18.10.2013 № 544н (ред. от 05.08.2016)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3.2.2. Основная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Митчелл М. Идиот или гений? Как работает и на что способен искусственный интеллект. — АСТ, 2022. — ISBN 978-5-17-127256-2. — URL: https://rusneb.ru/catalog/000200_000018_RU_NLR_BIBL_A_012763400/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Баранова Е. К., Бабаш А. В. Информационная безопасность и защита информации : учебное пособие. — ИНФРА-М, 2026. — ISBN 978-5-16-021869-4. — URL: https://rusneb.ru/catalog/000200_000018_RU_NLR_BIBL_A_022803503/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Бирюков А. А. Информационная безопасность : защита и нападение. — ДМК Пресс, 2024. — ISBN 978-5-93700-219-8. — URL: https://www.dmkpress.com/catalog/computer/securuty/978-5-93700-219-8/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3.2.3. Дополнительная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Таулли Т. Основы искусственного интеллекта : нетехническое введение. — БХВ-Петербург, 2021. — ISBN 978-5-9775-6717-6. — URL: https://rusneb.ru/catalog/000199_000009_010596768/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Хэтти Дж. Видимое обучение для учителей : как повысить эффективность педагогической работы. — Национальное образование, 2021. — ISBN 978-5-4454-1391-2. — URL: https://rusneb.ru/catalog/000199_000009_010504457/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Жерон О. Прикладное машинное обучение с помощью Scikit-Learn, Keras и TensorFlow : концепции, инструменты и техники для создания интеллектуальных систем. — Диалектика, 2020. — ISBN 978-5-907203-33-4. — URL: https://rusneb.ru/catalog/000199_000009_010476606/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3.2.4. Интернет-ресурсы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Документация GigaChat API. — URL: https://developers.sber.ru/docs/ru/gigachat/overview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Банк данных угроз безопасности информации ФСТЭК России. — URL: https://bdu.fstec.ru/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Документация Yandex AI Studio. — URL: https://aistudio.yandex.ru/docs/ru/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GigaChat: официальный сайт сервиса. — URL: https://giga.chat/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3.2.5. Программное обеспечение и информационные системы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МойОфис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Браузер Яндекс Браузер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Система дистанционного обучения Moodle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3.3. Организация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Занятия проводятся по учебному плану и календарному графику. Практические задания выполняются на занятиях и самостоятельно, результаты проверяет преподаватель.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3.4. Кадровое обеспечение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Преподаватели с высшим образованием по профилю программы и опытом практической работы в этой сфере.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Преподаватель: </w:t>
      </w:r>
      <w:r>
        <w:rPr>
          <w:rFonts w:ascii="Times New Roman" w:hAnsi="Times New Roman" w:eastAsia="Times New Roman" w:cs="Times New Roman"/>
          <w:b w:val="0"/>
        </w:rPr>
        <w:t>____ (ФИО), ____ (должность)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1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текущего контроля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1. Нейросети в работе учителя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тест.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к результату «Знать возможности и ограничения нейросет»: что верно о исходных данных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к результату «Знать возможности и ограничения нейросет»: что верно о порядке действий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к результату «Уметь выбирать сервисы ИИ, доступные в Р»: что верно о типичной ошибке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к результату «Уметь выбирать сервисы ИИ, доступные в Р»: что верно о проверке результата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Что умеют нейросети и где они ошибаются» (тема 1.1)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урок — нужно применить приёмы темы «Что умеют нейросети и где они ошибаются».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«Что умеют нейросети и где они ошибаются»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Российские сервисы ИИ для учителя» (тема 1.2)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ученик — нужно применить приёмы темы «Российские сервисы ИИ для учителя».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«Российские сервисы ИИ для учителя»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2. Подготовка уроков и заданий с помощью 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5 к результату «Уметь составлять запросы к нейросети для»: что верно о назначении инструмента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6 к результату «Уметь составлять запросы к нейросети для»: что верно о ограничениях метода с точки зрения удобства?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7 к результату «Владеть приёмами доработки материалов, с»: что верно о выборе решения с точки зрения стоимости?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7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8 к результату «Владеть приёмами доработки материалов, с»: что верно о оформлении вывода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8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План урока с помощью нейросети» (тема 2.1)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урок — нужно применить приёмы темы «План урока с помощью нейросети».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«План урока с помощью нейросети»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Задания и раздаточные материалы для учеников» (тема 2.2)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ученик — нужно применить приёмы темы «Задания и раздаточные материалы для учеников».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«Задания и раздаточные материалы для учеников»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Иллюстрации и презентации к уроку» (тема 2.3)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школ — нужно применить приёмы темы «Иллюстрации и презентации к уроку».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«Иллюстрации и презентации к уроку»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3. Проверочные работы и обратная связь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9 к результату «Знать виды проверочных работ и требовани»: что верно о настройке параметров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9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10 к результату «Знать виды проверочных работ и требовани»: что верно о критериях качества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10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11 к результату «Уметь готовить проверочную работу и крит»: что верно о исходных данных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12 к результату «Уметь готовить проверочную работу и крит»: что верно о порядке действий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13 к результату «Владеть навыком проверки заданий, создан»: что верно о типичной ошибке с точки зрения удобства?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14 к результату «Владеть навыком проверки заданий, создан»: что верно о проверке результата с точки зрения стоимости?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Проверочные работы с помощью нейросети» (тема 3.1)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урок — нужно применить приёмы темы «Проверочные работы с помощью нейросети».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«Проверочные работы с помощью нейросети»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Критерии оценки и проверка ответов учеников» (тема 3.2)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ученик — нужно применить приёмы темы «Критерии оценки и проверка ответов учеников».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«Критерии оценки и проверка ответов учеников»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4. Риски и безопасное использование 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тест.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15 к результату «Знать риски использования ИИ в школе и п»: что верно о назначении инструмента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16 к результату «Знать риски использования ИИ в школе и п»: что верно о ограничениях метода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17 к результату «Владеть правилами этичного использования»: что верно о выборе решения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17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18 к результату «Владеть правилами этичного использования»: что верно о оформлении вывода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18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Риски ИИ и правила безопасного использования в школе» (тема 4.1)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урок — нужно применить приёмы темы «Риски ИИ и правила безопасного использования в школе».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«Риски ИИ и правила безопасного использования в школе»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Этика и защита персональных данных учеников» (тема 4.2)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ученик — нужно применить приёмы темы «Этика и защита персональных данных учеников».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«Этика и защита персональных данных учеников»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2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итоговой аттестации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итоговой аттестации: </w:t>
      </w:r>
      <w:r>
        <w:rPr>
          <w:rFonts w:ascii="Times New Roman" w:hAnsi="Times New Roman" w:eastAsia="Times New Roman" w:cs="Times New Roman"/>
          <w:b w:val="0"/>
        </w:rPr>
        <w:t>зачёт по портфолио, 2 часа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в форме зачёта по портфолио из трёх материалов, созданных с помощью ИИ.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итоговой работе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выполняется самостоятельно по темам программы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Материал работы относится к сфере: школа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оформляется по шаблону и сдаётся до начала аттестации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Выполнен самостоятельно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Оформлен по шаблону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Элемент портфолио: Материал портфолио 1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[заполнить методисту]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Элемент портфолио: Материал портфолио 2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[заполнить методисту]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Элемент портфолио: Материал портфолио 3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[заполнить методисту]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Детализированные критерии оценки</w:t>
      </w:r>
    </w:p>
    <w:tbl>
      <w:tblPr>
        <w:tblLook w:firstColumn="1" w:firstRow="1" w:lastColumn="0" w:lastRow="0" w:noHBand="0" w:noVBand="1" w:val="04A0"/>
        <w:tblW w:w="9679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479"/>
        <w:gridCol w:w="2200"/>
      </w:tblGrid>
      <w:tr>
        <w:trPr>
          <w:tblHeader/>
        </w:trPr>
        <w:tc>
          <w:tcPr>
            <w:tcW w:type="dxa" w:w="747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Максимальный балл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Работа выполнена полностью и соответствует заданию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Решение обосновано и опирается на материал программы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Слушатель уверенно отвечает на вопросы по своей работе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Условие «зачтено»: </w:t>
      </w:r>
      <w:r>
        <w:rPr>
          <w:rFonts w:ascii="Times New Roman" w:hAnsi="Times New Roman" w:eastAsia="Times New Roman" w:cs="Times New Roman"/>
          <w:b w:val="0"/>
        </w:rPr>
        <w:t>«Зачтено» — не меньше 6 баллов из 10 и ни по одному критерию не 0 баллов.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Процедура проведения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заранее сдаёт работу преподавателю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Представляет результат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Отвечает на вопросы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Комиссия выставляет баллы по критериям и объявляет результат</w:t>
      </w:r>
    </w:p>
    <w:sectPr w:rsidR="00912FE8">
      <w:pgSz w:w="11906" w:h="16838"/>
      <w:pgMar w:top="1135" w:right="851" w:bottom="1418" w:left="127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09C03C3" w14:textId="77777777" w:rsidR="00C15E4E" w:rsidRDefault="00C15E4E">
      <w:r>
        <w:separator/>
      </w:r>
    </w:p>
  </w:endnote>
  <w:endnote w:type="continuationSeparator" w:id="0">
    <w:p w14:paraId="15BB2700" w14:textId="77777777" w:rsidR="00C15E4E" w:rsidRDefault="00C15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3A3BD68" w14:textId="77777777" w:rsidR="00C15E4E" w:rsidRDefault="00C15E4E">
      <w:r>
        <w:separator/>
      </w:r>
    </w:p>
  </w:footnote>
  <w:footnote w:type="continuationSeparator" w:id="0">
    <w:p w14:paraId="1D70246B" w14:textId="77777777" w:rsidR="00C15E4E" w:rsidRDefault="00C15E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664AC"/>
    <w:multiLevelType w:val="hybridMultilevel"/>
    <w:tmpl w:val="C7FA537A"/>
    <w:lvl w:ilvl="0" w:tplc="069E2D4A">
      <w:start w:val="1"/>
      <w:numFmt w:val="bullet"/>
      <w:lvlText w:val="–"/>
      <w:lvlJc w:val="left"/>
      <w:pPr>
        <w:spacing w:after="40"/>
        <w:ind w:left="360" w:hanging="240"/>
      </w:pPr>
    </w:lvl>
    <w:lvl w:ilvl="1" w:tplc="E97CD804">
      <w:start w:val="1"/>
      <w:numFmt w:val="decimal"/>
      <w:lvlText w:val=""/>
      <w:lvlJc w:val="left"/>
    </w:lvl>
    <w:lvl w:ilvl="2" w:tplc="BBE6E0CA">
      <w:start w:val="1"/>
      <w:numFmt w:val="decimal"/>
      <w:lvlText w:val=""/>
      <w:lvlJc w:val="left"/>
    </w:lvl>
    <w:lvl w:ilvl="3" w:tplc="2CAAC91E">
      <w:start w:val="1"/>
      <w:numFmt w:val="decimal"/>
      <w:lvlText w:val=""/>
      <w:lvlJc w:val="left"/>
    </w:lvl>
    <w:lvl w:ilvl="4" w:tplc="413C2E5A">
      <w:start w:val="1"/>
      <w:numFmt w:val="decimal"/>
      <w:lvlText w:val=""/>
      <w:lvlJc w:val="left"/>
    </w:lvl>
    <w:lvl w:ilvl="5" w:tplc="9B2A39C0">
      <w:start w:val="1"/>
      <w:numFmt w:val="decimal"/>
      <w:lvlText w:val=""/>
      <w:lvlJc w:val="left"/>
    </w:lvl>
    <w:lvl w:ilvl="6" w:tplc="E0CE036A">
      <w:start w:val="1"/>
      <w:numFmt w:val="decimal"/>
      <w:lvlText w:val=""/>
      <w:lvlJc w:val="left"/>
    </w:lvl>
    <w:lvl w:ilvl="7" w:tplc="729E90F0">
      <w:start w:val="1"/>
      <w:numFmt w:val="decimal"/>
      <w:lvlText w:val=""/>
      <w:lvlJc w:val="left"/>
    </w:lvl>
    <w:lvl w:ilvl="8" w:tplc="EF2032BA">
      <w:start w:val="1"/>
      <w:numFmt w:val="decimal"/>
      <w:lvlText w:val=""/>
      <w:lvlJc w:val="left"/>
    </w:lvl>
  </w:abstractNum>
  <w:abstractNum w:abstractNumId="1">
    <w:nsid w:val="1D951714"/>
    <w:multiLevelType w:val="hybridMultilevel"/>
    <w:tmpl w:val="0DB41E44"/>
    <w:lvl w:ilvl="0" w:tplc="75DCF518">
      <w:start w:val="1"/>
      <w:numFmt w:val="bullet"/>
      <w:lvlText w:val="–"/>
      <w:lvlJc w:val="left"/>
      <w:pPr>
        <w:ind w:left="540" w:hanging="360"/>
      </w:pPr>
    </w:lvl>
    <w:lvl w:ilvl="1" w:tplc="5A609B10">
      <w:start w:val="1"/>
      <w:numFmt w:val="decimal"/>
      <w:lvlText w:val=""/>
      <w:lvlJc w:val="left"/>
    </w:lvl>
    <w:lvl w:ilvl="2" w:tplc="30B854EA">
      <w:start w:val="1"/>
      <w:numFmt w:val="decimal"/>
      <w:lvlText w:val=""/>
      <w:lvlJc w:val="left"/>
    </w:lvl>
    <w:lvl w:ilvl="3" w:tplc="E53A7526">
      <w:start w:val="1"/>
      <w:numFmt w:val="decimal"/>
      <w:lvlText w:val=""/>
      <w:lvlJc w:val="left"/>
    </w:lvl>
    <w:lvl w:ilvl="4" w:tplc="D3D6461A">
      <w:start w:val="1"/>
      <w:numFmt w:val="decimal"/>
      <w:lvlText w:val=""/>
      <w:lvlJc w:val="left"/>
    </w:lvl>
    <w:lvl w:ilvl="5" w:tplc="AC387B6A">
      <w:start w:val="1"/>
      <w:numFmt w:val="decimal"/>
      <w:lvlText w:val=""/>
      <w:lvlJc w:val="left"/>
    </w:lvl>
    <w:lvl w:ilvl="6" w:tplc="F77E513C">
      <w:start w:val="1"/>
      <w:numFmt w:val="decimal"/>
      <w:lvlText w:val=""/>
      <w:lvlJc w:val="left"/>
    </w:lvl>
    <w:lvl w:ilvl="7" w:tplc="F8BCC834">
      <w:start w:val="1"/>
      <w:numFmt w:val="decimal"/>
      <w:lvlText w:val=""/>
      <w:lvlJc w:val="left"/>
    </w:lvl>
    <w:lvl w:ilvl="8" w:tplc="F57C588E">
      <w:start w:val="1"/>
      <w:numFmt w:val="decimal"/>
      <w:lvlText w:val=""/>
      <w:lvlJc w:val="left"/>
    </w:lvl>
  </w:abstractNum>
  <w:abstractNum w:abstractNumId="2">
    <w:nsid w:val="47C51A0C"/>
    <w:multiLevelType w:val="hybridMultilevel"/>
    <w:tmpl w:val="C45446B4"/>
    <w:lvl w:ilvl="0" w:tplc="F064D31E">
      <w:start w:val="1"/>
      <w:numFmt w:val="bullet"/>
      <w:lvlText w:val="●"/>
      <w:lvlJc w:val="left"/>
      <w:pPr>
        <w:ind w:left="720" w:hanging="360"/>
      </w:pPr>
    </w:lvl>
    <w:lvl w:ilvl="1" w:tplc="BF14E546">
      <w:start w:val="1"/>
      <w:numFmt w:val="bullet"/>
      <w:lvlText w:val="○"/>
      <w:lvlJc w:val="left"/>
      <w:pPr>
        <w:ind w:left="1440" w:hanging="360"/>
      </w:pPr>
    </w:lvl>
    <w:lvl w:ilvl="2" w:tplc="490A767E">
      <w:start w:val="1"/>
      <w:numFmt w:val="bullet"/>
      <w:lvlText w:val="■"/>
      <w:lvlJc w:val="left"/>
      <w:pPr>
        <w:ind w:left="2160" w:hanging="360"/>
      </w:pPr>
    </w:lvl>
    <w:lvl w:ilvl="3" w:tplc="2312AF98">
      <w:start w:val="1"/>
      <w:numFmt w:val="bullet"/>
      <w:lvlText w:val="●"/>
      <w:lvlJc w:val="left"/>
      <w:pPr>
        <w:ind w:left="2880" w:hanging="360"/>
      </w:pPr>
    </w:lvl>
    <w:lvl w:ilvl="4" w:tplc="C98C9CFC">
      <w:start w:val="1"/>
      <w:numFmt w:val="bullet"/>
      <w:lvlText w:val="○"/>
      <w:lvlJc w:val="left"/>
      <w:pPr>
        <w:ind w:left="3600" w:hanging="360"/>
      </w:pPr>
    </w:lvl>
    <w:lvl w:ilvl="5" w:tplc="19122912">
      <w:start w:val="1"/>
      <w:numFmt w:val="bullet"/>
      <w:lvlText w:val="■"/>
      <w:lvlJc w:val="left"/>
      <w:pPr>
        <w:ind w:left="4320" w:hanging="360"/>
      </w:pPr>
    </w:lvl>
    <w:lvl w:ilvl="6" w:tplc="FFF636CE">
      <w:start w:val="1"/>
      <w:numFmt w:val="bullet"/>
      <w:lvlText w:val="●"/>
      <w:lvlJc w:val="left"/>
      <w:pPr>
        <w:ind w:left="5040" w:hanging="360"/>
      </w:pPr>
    </w:lvl>
    <w:lvl w:ilvl="7" w:tplc="C36EDAEA">
      <w:start w:val="1"/>
      <w:numFmt w:val="bullet"/>
      <w:lvlText w:val="●"/>
      <w:lvlJc w:val="left"/>
      <w:pPr>
        <w:ind w:left="5760" w:hanging="360"/>
      </w:pPr>
    </w:lvl>
    <w:lvl w:ilvl="8" w:tplc="E7FC6A2E">
      <w:start w:val="1"/>
      <w:numFmt w:val="bullet"/>
      <w:lvlText w:val="●"/>
      <w:lvlJc w:val="left"/>
      <w:pPr>
        <w:ind w:left="6480" w:hanging="360"/>
      </w:pPr>
    </w:lvl>
  </w:abstractNum>
  <w:abstractNum w:abstractNumId="3">
    <w:multiLevelType w:val="singleLevel"/>
    <w:lvl w:ilvl="0">
      <w:start w:val="1"/>
      <w:numFmt w:val="bullet"/>
      <w:lvlText w:val="–"/>
      <w:lvlJc w:val="left"/>
      <w:pPr>
        <w:ind w:left="538" w:hanging="358"/>
      </w:pPr>
      <w:rPr>
        <w:rFonts w:ascii="Times New Roman" w:hAnsi="Times New Roman" w:cs="Times New Roman"/>
      </w:rPr>
    </w:lvl>
  </w:abstractNum>
  <w:abstractNum w:abstractNumId="4">
    <w:multiLevelType w:val="singleLevel"/>
    <w:lvl w:ilvl="0">
      <w:start w:val="1"/>
      <w:numFmt w:val="bullet"/>
      <w:lvlText w:val="–"/>
      <w:lvlJc w:val="left"/>
      <w:pPr>
        <w:ind w:left="360" w:hanging="240"/>
      </w:pPr>
      <w:rPr>
        <w:rFonts w:ascii="Times New Roman" w:hAnsi="Times New Roman" w:cs="Times New Roman"/>
      </w:r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2FE8"/>
    <w:rsid w:val="00051CDE"/>
    <w:rsid w:val="0005636E"/>
    <w:rsid w:val="00083E24"/>
    <w:rsid w:val="002505B8"/>
    <w:rsid w:val="00255203"/>
    <w:rsid w:val="002A67EE"/>
    <w:rsid w:val="00392B30"/>
    <w:rsid w:val="003B75F2"/>
    <w:rsid w:val="00537D4A"/>
    <w:rsid w:val="00912FE8"/>
    <w:rsid w:val="009363A9"/>
    <w:rsid w:val="00A007C4"/>
    <w:rsid w:val="00AC0949"/>
    <w:rsid w:val="00AC306B"/>
    <w:rsid w:val="00B91476"/>
    <w:rsid w:val="00C15E4E"/>
    <w:rsid w:val="00E74B9A"/>
    <w:rsid w:val="00EC2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620A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4083</Words>
  <Characters>23277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cp:lastPrinted>2026-10-22T15:52:22Z</cp:lastPrinted>
  <dcterms:created xsi:type="dcterms:W3CDTF">2026-10-22T15:52:22Z</dcterms:created>
  <dcterms:modified xsi:type="dcterms:W3CDTF">2026-10-22T15:52:22Z</dcterms:modified>
  <dc:title>Искусственный интеллект в работе учителя</dc:title>
  <dc:description/>
</cp:coreProperties>
</file>