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ind w:firstLine="0"/>
      </w:pPr>
      <w:r>
        <w:rPr>
          <w:rFonts w:ascii="Times New Roman" w:hAnsi="Times New Roman" w:eastAsia="Times New Roman" w:cs="Times New Roman"/>
        </w:rPr>
        <w:t>Отчёт автопроверки: «Искусственный интеллект в работе учителя»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/>
        </w:rPr>
        <w:t>Итог. Комплект собран, но автопроверка нашла 1 ошибку — их нужно исправить до утверждения программы; ещё 2 предупреждения методисту — см. ниже. В приложенном образце найдено ошибок: 15; в программу они не перенесены. Пояснения к сборке — в разделе «Что пропущено и почему».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Коротко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ошибки (нужно исправить до утверждения): 1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предупреждения методисту (с вариантами решения): 2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замечания автопроверки (стоит проверить):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объём: заявлено 36 ч, собрано 36 ч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модель: заготовленные ответы (демонстрационный режим); режим генерации — полный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время сборки комплекта после утверждения каркаса: 1 с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нужно исправить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У материалов портфолио FA.P1, FA.P2, FA.P3 нет требований. Как исправить: перегенерируйте этот фрагмент точечной правкой или поправьте текст вручную.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Предупреждения методисту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Здесь — ситуации, где нужно решение методиста или заказчика: агент нашёл их сам по общим правилам. У каждого предупреждения — цифры и варианты решения.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1. Ошибки в приложенном образце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приложенном образце «pk_stazhirovka_bsa_248h.docx» найдено 15 расхождений: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 Главное: в учебном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246; в учебно-тематическом плане образца строка «1.11 Текущий контроль»: 6 ч, а по видам работы везде 0 — часы не распределены (текущий контроль нужно учитывать внутри часов тем); в учебно-тематическом плане образца строка раздела «1 Бизнес- и системный анализ: от требований к работ…» не равна сумме своих тем: ПР — в строке раздела 0, сумма тем 66; ЛБ — в строке раздела 0, сумма тем 6; СРС — в строке раздела 246, сумма тем 168; в учебно-тематическом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246; в учебно-тематическом плане образца сумма по темам и итоговой аттестации не сходится с «Итого»: СРС — в «Итого» 174, сумма тем и итоговой аттестации 168; и ещё 10 — полный список в разделе «Ошибки приложенного образца». В новой программе они не повторяются.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Всего расхождений — 15; Часы рабочей программы не совпадают с учебно-тематическим планом — 5; Суммы и итоги часов в учебных планах — 4; Ссылки на нормативные акты (утратившие силу или с неверной датой) — 2; Строки с часами, не разнесёнными по видам работы — 1; Разные обозначения лабораторных работ — 1; Аудиторные часы в стажировке — 1; Заполненные реквизиты приказа об утверждении — 1.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новой программе не нужно: она собрана заново по шаблону, часы посчитаны программой, и ошибки образца в неё не перенесены.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Передайте список расхождений автору образца — он в полной версии отчёта (report.md), раздел «Ошибки приложенного образца».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Если образец — действующая программа организации, исправьте его, прежде чем использовать снова.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2. Акт из задания утратил силу — в программе указан действующий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Действующий акт — Приказ Минобрнауки России от 24.03.2025 № 266 (действует с 01.09.2025). Приказ Минобрнауки России от 01.07.2013 № 499 утратил силу с 01.09.2025: ссылка на него из задания или образца в программу не переносится. Действующий акт — Постановление Правительства Российской Федерации от 11.10.2023 № 1678 (действует с 01.09.2024). Приказ Минобрнауки России от 23.08.2017 № 816 утратил силу с 01.09.2023: ссылка на него из задания или образца в программу не переносится. Прежний акт упоминается в приложенном образце.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Цифры: Действующий акт — Приказ Минобрнауки России от 24.03.2025 № 266, действует с 01.09.2025; Прежний акт — Приказ Минобрнауки России от 01.07.2013 № 499 — утратил силу с 01.09.2025; Источник — https://www.consultant.ru/document/cons_doc_LAW_503832/; Действующий акт — Постановление Правительства Российской Федерации от 11.10.2023 № 1678, действует с 01.09.2024; Прежний акт — Приказ Минобрнауки России от 23.08.2017 № 816 — утратил силу с 01.09.2023; Источник — https://www.kontur-extern.ru/info/normativ/document/1/506144-postanovlenie-pravitelstva-rf-ot-11-10-2023-n-1678.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</w:rPr>
        <w:t>Варианты решения: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1. Ничего менять в программе не нужно — в ней указан действующий акт.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2. Обновите ссылку в задании и шаблонах организации: Приказ Минобрнауки России от 24.03.2025 № 266; Постановление Правительства Российской Федерации от 11.10.2023 № 1678.</w:t>
      </w:r>
    </w:p>
    <w:p>
      <w:pPr>
        <w:spacing w:before="0" w:after="6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3. Проверьте другие программы организации, где ещё указан прежний акт.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Ошибки приложенного образца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 образце, приложенном к запросу, найдено 15 расхождений. В новой программе они исправлены — делать ничего не нужно; список пригодится автору образца.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«1.11 Текущий контроль»: 6 ч, а по видам работы везде 0 — часы не распределены (текущий контроль нужно учитывать внутри часов тем).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раздела «1 Бизнес- и системный анализ: от требований к работ…» не равна сумме своих тем: ПР — в строке раздела 0, сумма тем 66; ЛБ — в строке раздела 0, сумма тем 6; СРС — в строке раздела 246, сумма тем 168.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строка «Итого» не равна сумме разделов и итоговой аттестации: ПР — в «Итого» 66, сумма разделов и итоговой аттестации 0; ЛБ — в «Итого» 6, сумма разделов и итоговой аттестации 0; СРС — в «Итого» 174, сумма разделов и итоговой аттестации 246.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учебно-тематическом плане образца сумма по темам и итоговой аттестации не сходится с «Итого»: СРС — в «Итого» 174, сумма тем и итоговой аттестации 168.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Рабочая программа образца, тема 1.6: в подписи «ПР (9 ч)», а в колонке часов 12.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Рабочая программа образца, тема 1.7: в подписи «ПР (6 ч)», а в колонке часов 9.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Тема 1.2 образца: часы в рабочей программе не совпадают с учебно-тематическим планом — СРС — в рабочей программе 12, в УТП 15.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Тема 1.5 образца: часы в рабочей программе не совпадают с учебно-тематическим планом — СРС — в рабочей программе 15, в УТП 18.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Текущий контроль в образце: в рабочей программе 12 ч (3 + 3 + 6), а в учебно-тематическом плане 6 ч.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учебном плане образца лабораторные работы обозначены «ЛБ», а в рабочей программе — «ЛР». В новой программе используется одно обозначение — «ЛБ».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 — стажировка, но в учебно-тематическом плане есть аудиторные часы (ЛК, ПР, ЛБ) в строках 1.2 Работа с требованиями: классификация, техники eli…, 1.3 Моделирование бизнес-процессов в нотации BPMN 2.0, 1.4 User Stories, Use Cases и критерии качества требо…, 1.5 UML для аналитика: Use Case, Class, Sequence-диаг…, 1.6 Прототипирование интерфейсов в Figma: wireframes… и ещё 3. У стажировки вся работа самостоятельная: ЛК, ПР и ЛБ равны 0 во всех строках.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В образце заполнены номер и дата приказа об утверждении — в новой программе реквизиты приказа остаются пустыми (____).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Образец: «Письмо Минобрнауки России от 01.04.2015 № ВК-1013/06» — по реестру дата акта 21.04.2015.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Образец ссылается на «Приказ Минобрнауки России от 23.08.2017 № 816» — акт утратил силу; действует постановление Правительства РФ от 11.10.2023 № 1678.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Часы по уровням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Заявлено 36 ч, по учебному плану 36 ч — сходится.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Из них контактная работа — 30,5 ч (из них с дистанционными технологиями — 15,5 ч), самостоятельная работа — 3,5 ч, итоговая аттестация — 2 ч.</w:t>
      </w:r>
    </w:p>
    <w:tbl>
      <w:tblPr>
        <w:tblLook w:firstColumn="1" w:firstRow="1" w:lastColumn="0" w:lastRow="0" w:noHBand="0" w:noVBand="1" w:val="04A0"/>
        <w:tblW w:w="9634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819"/>
        <w:gridCol w:w="963"/>
        <w:gridCol w:w="963"/>
        <w:gridCol w:w="963"/>
        <w:gridCol w:w="963"/>
        <w:gridCol w:w="963"/>
      </w:tblGrid>
      <w:tr>
        <w:trPr>
          <w:tblHeader/>
        </w:trPr>
        <w:tc>
          <w:tcPr>
            <w:tcW w:type="dxa" w:w="4819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Уровень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Всего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ЛК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ПР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ЛБ</w:t>
            </w:r>
          </w:p>
        </w:tc>
        <w:tc>
          <w:tcPr>
            <w:tcW w:type="dxa" w:w="963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СРС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1. Нейросети в работе учителя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1.1. Что умеют нейросети и где они ошибаются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1.2. Российские сервисы ИИ для учителя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2. Подготовка уроков и заданий с помощью ИИ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2.1. План урока с помощью нейросети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2.2. Задания и раздаточные материалы для учеников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2.3. Иллюстрации и презентации к уроку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3. Проверочные работы и обратная связь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3.1. Проверочные работы с помощью нейросети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3.2. Критерии оценки и проверка ответов учеников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Модуль 4. Риски и безопасное использование ИИ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4.1. Риски ИИ и правила безопасного использования в школе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 xml:space="preserve">   тема 4.2. Этика и защита персональных данных учеников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36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12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18,5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  <w:tc>
          <w:tcPr>
            <w:tcW w:type="dxa" w:w="963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3,5</w:t>
            </w:r>
          </w:p>
        </w:tc>
      </w:tr>
    </w:tbl>
    <w:p>
      <w:pPr>
        <w:spacing w:before="0" w:after="120"/>
        <w:ind w:firstLine="0"/>
      </w:pP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Суммы строк, разделов и итогов, шаг 0,5 ч и календарь проверены: замечаний нет.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Покрытие результатов обучения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9 из 9 результатов обучения раскрыты в темах и проверяются двумя и более оценочными средствами (вопросы теста, практические задания, вопросы собеседования, итоговая аттестация).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448"/>
        <w:gridCol w:w="1482"/>
        <w:gridCol w:w="2224"/>
        <w:gridCol w:w="1482"/>
      </w:tblGrid>
      <w:tr>
        <w:trPr>
          <w:tblHeader/>
        </w:trPr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Результат обучения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Темы</w:t>
            </w:r>
          </w:p>
        </w:tc>
        <w:tc>
          <w:tcPr>
            <w:tcW w:type="dxa" w:w="222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Оценочные средства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Знать возможности и ограничения нейросетей при подготовке к уроку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Уметь составлять запросы к нейросети для плана урока и заданий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Владеть приёмами доработки материалов, созданных нейросетью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2.1, 2.2, 2.3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3,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Знать виды проверочных работ и требования к ним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Уметь готовить проверочную работу и критерии оценки с помощью нейросети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3.1, 3.2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Владеть навыком проверки заданий, созданных нейросетью, на ошибки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Знать риски использования ИИ в школе и правила защиты персональных данных учеников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 Уметь выбирать сервисы ИИ, доступные в России и безопасные для работы с детьми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1,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  <w:tr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Владеть правилами этичного использования ИИ на уроке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4.1, 4.2</w:t>
            </w:r>
          </w:p>
        </w:tc>
        <w:tc>
          <w:tcPr>
            <w:tcW w:type="dxa" w:w="222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вопросы теста: 2, задания: 2, итоговая аттестация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в порядке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Источники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подтверждено: 10 (каталог проверенных изданий — 10)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не подтверждено — в документе с пометкой «[не подтверждено]»: 0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отброшено при проверке: 1 (не прошли проверку ISBN, издательства или года — 1; сверх лимита неподтверждённых — 0)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354"/>
        <w:gridCol w:w="2141"/>
        <w:gridCol w:w="2141"/>
      </w:tblGrid>
      <w:tr>
        <w:trPr>
          <w:tblHeader/>
        </w:trPr>
        <w:tc>
          <w:tcPr>
            <w:tcW w:type="dxa" w:w="5354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Подтверждено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Без подтверждения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5354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Полнота разделов шаблона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Заполнено 26 из 26 разделов шаблона. Все разделы шаблона заполнены.</w:t>
      </w:r>
    </w:p>
    <w:tbl>
      <w:tblPr>
        <w:tblLook w:firstColumn="1" w:firstRow="1" w:lastColumn="0" w:lastRow="0" w:noHBand="0" w:noVBand="1" w:val="04A0"/>
        <w:tblW w:w="9637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7496"/>
        <w:gridCol w:w="2141"/>
      </w:tblGrid>
      <w:tr>
        <w:trPr>
          <w:tblHeader/>
        </w:trPr>
        <w:tc>
          <w:tcPr>
            <w:tcW w:type="dxa" w:w="749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Раздел шаблона</w:t>
            </w:r>
          </w:p>
        </w:tc>
        <w:tc>
          <w:tcPr>
            <w:tcW w:type="dxa" w:w="2141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1.1. Аннотация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1.2. Цель реализации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1.3. Планируемые результаты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1.4. Программа разработана на основе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1.5. Перечень профессиональных компетенций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1.6. Требования к слушателям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1.7. Форма обучения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1.8. Объём программы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1.9. Выдаваемый документ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2.1. Учебный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2.2. Учебно-тематический план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2.3. Календарный учебный график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2.4. Рабочая программа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2.5.1. Формы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2.5.2. Оценочные материалы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2.5.3. Анализ удовлетворённости слушателей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3.1. Материально-техническое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3.2.1. Нормативно-правовые документы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3.2.2. Основная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3.2.3. Дополнительная литература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3.2.4. Интернет-ресурсы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3.2.5. Программное обеспечение и информационные системы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3.3. Организация образовательного процесса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3.4. Кадровое обеспечение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1. Оценочные материалы текущего контроля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  <w:tr>
        <w:tc>
          <w:tcPr>
            <w:tcW w:type="dxa" w:w="749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Приложение 2. Оценочные материалы итоговой аттестации</w:t>
            </w:r>
          </w:p>
        </w:tc>
        <w:tc>
          <w:tcPr>
            <w:tcW w:type="dxa" w:w="2141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заполнен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Совпадение с образцом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С приложенным образцом дословно совпадает 0% текста комплекта (порог — 15%): в норме. Ошибки образца в программу не переносятся.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Смысловая проверка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Эксперт-модель проверила то, что нельзя посчитать кодом: пройдено 8 из 8 критериев. Замечания — повод перечитать соответствующий раздел.</w:t>
      </w:r>
    </w:p>
    <w:tbl>
      <w:tblPr>
        <w:tblLook w:firstColumn="1" w:firstRow="1" w:lastColumn="0" w:lastRow="0" w:noHBand="0" w:noVBand="1" w:val="04A0"/>
        <w:tblW w:w="9636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706"/>
        <w:gridCol w:w="4448"/>
        <w:gridCol w:w="1482"/>
      </w:tblGrid>
      <w:tr>
        <w:trPr>
          <w:tblHeader/>
        </w:trPr>
        <w:tc>
          <w:tcPr>
            <w:tcW w:type="dxa" w:w="370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Критерий</w:t>
            </w:r>
          </w:p>
        </w:tc>
        <w:tc>
          <w:tcPr>
            <w:tcW w:type="dxa" w:w="4448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Комментарий</w:t>
            </w:r>
          </w:p>
        </w:tc>
        <w:tc>
          <w:tcPr>
            <w:tcW w:type="dxa" w:w="148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Язык и терминология соответствуют аудитории; термины поясняются; нет жаргона.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Уровень, последовательность тем и входные требования соответствуют входному уровню слушателей.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Результаты обучения реалистичны для объёма программы; нет обещаний сверх объёма.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Ситуации заданий взяты из профессиональной среды слушателей и реалистичны.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Итоговая аттестация и задания соответствуют форме из запроса; требования конкретны, критерии измеримы, пример задания выполним.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Содержание тем и лекций действительно раскрывает привязанные результаты обучения.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Нет устаревших инструментов, версий и практик.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  <w:tr>
        <w:tc>
          <w:tcPr>
            <w:tcW w:type="dxa" w:w="3706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Аннотация, цель и планируемые результаты по сути соответствуют своим разделам.</w:t>
            </w:r>
          </w:p>
        </w:tc>
        <w:tc>
          <w:tcPr>
            <w:tcW w:type="dxa" w:w="4448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Соответствует: формулировки конкретны и опираются на темы программы.</w:t>
            </w:r>
          </w:p>
        </w:tc>
        <w:tc>
          <w:tcPr>
            <w:tcW w:type="dxa" w:w="1482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пройдено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Что пропущено и почему</w:t>
      </w:r>
    </w:p>
    <w:p>
      <w:pPr>
        <w:numPr>
          <w:ilvl w:val="0"/>
          <w:numId w:val="10"/>
        </w:numPr>
        <w:spacing w:before="0" w:after="40" w:line="240" w:lineRule="auto"/>
        <w:ind w:firstLine="0"/>
        <w:jc w:val="both"/>
      </w:pPr>
      <w:r>
        <w:rPr>
          <w:rFonts w:ascii="Times New Roman" w:hAnsi="Times New Roman" w:eastAsia="Times New Roman" w:cs="Times New Roman"/>
        </w:rPr>
        <w:t>Модель предложила источник «Полное руководство по всему», который не удалось подтвердить (ISBN 978-5-4461-0000-1 не проходит проверку контрольной суммы), — он не включён.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Стоимость и время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Вызовов модели: 20, стоимость 0,00 ₽. Комплект собран за 1 с после утверждения каркаса. Режим без модели: вызовы бесплатные.</w:t>
      </w:r>
    </w:p>
    <w:tbl>
      <w:tblPr>
        <w:tblLook w:firstColumn="1" w:firstRow="1" w:lastColumn="0" w:lastRow="0" w:noHBand="0" w:noVBand="1" w:val="04A0"/>
        <w:tblW w:w="9635" w:type="dxa"/>
        <w:tblLayout w:type="fixed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442"/>
        <w:gridCol w:w="1376"/>
        <w:gridCol w:w="2065"/>
        <w:gridCol w:w="1376"/>
        <w:gridCol w:w="1376"/>
      </w:tblGrid>
      <w:tr>
        <w:trPr>
          <w:tblHeader/>
        </w:trPr>
        <w:tc>
          <w:tcPr>
            <w:tcW w:type="dxa" w:w="3442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Шаг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Вызовов</w:t>
            </w:r>
          </w:p>
        </w:tc>
        <w:tc>
          <w:tcPr>
            <w:tcW w:type="dxa" w:w="2065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Токены (вход / выход)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₽</w:t>
            </w:r>
          </w:p>
        </w:tc>
        <w:tc>
          <w:tcPr>
            <w:tcW w:type="dxa" w:w="1376"/>
            <w:shd w:val="clear" w:color="auto" w:fill="F2F2F2"/>
            <w:vAlign w:val="center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с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Тексты программы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Итоговая аттестация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Литература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Рабочая программа модулей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Лекции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Практические задания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Тесты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Смысловая проверка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 / 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3442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Итого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20</w:t>
            </w:r>
          </w:p>
        </w:tc>
        <w:tc>
          <w:tcPr>
            <w:tcW w:type="dxa" w:w="2065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0,00</w:t>
            </w:r>
          </w:p>
        </w:tc>
        <w:tc>
          <w:tcPr>
            <w:tcW w:type="dxa" w:w="1376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0</w:t>
            </w:r>
          </w:p>
        </w:tc>
      </w:tr>
    </w:tbl>
    <w:p>
      <w:pPr>
        <w:spacing w:before="0" w:after="120"/>
        <w:ind w:firstLine="0"/>
      </w:pP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</w:rPr>
        <w:t>Проверка выгрузок</w:t>
      </w:r>
    </w:p>
    <w:p>
      <w:pPr>
        <w:spacing w:before="0" w:after="120" w:line="240" w:lineRule="auto"/>
        <w:ind w:firstLine="0"/>
        <w:jc w:val="both"/>
      </w:pPr>
      <w:r>
        <w:rPr>
          <w:rFonts w:ascii="Times New Roman" w:hAnsi="Times New Roman" w:eastAsia="Times New Roman" w:cs="Times New Roman"/>
          <w:b w:val="0"/>
        </w:rPr>
        <w:t>Файлы program.docx, slides.pptx, tests.gift, tests_moodle.xml, tests.csv, report.docx перечитаны после записи и сверены с комплектом: расхождений нет.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–"/>
      <w:lvlJc w:val="left"/>
      <w:pPr>
        <w:ind w:left="538" w:hanging="358"/>
      </w:pPr>
      <w:rPr>
        <w:rFonts w:ascii="Times New Roman" w:hAnsi="Times New Roman" w:cs="Times New Roman"/>
      </w:rPr>
    </w:lvl>
  </w:abstractNum>
  <w:abstractNum w:abstractNumId="10">
    <w:multiLevelType w:val="singleLevel"/>
    <w:lvl w:ilvl="0">
      <w:start w:val="1"/>
      <w:numFmt w:val="bullet"/>
      <w:lvlText w:val="–"/>
      <w:lvlJc w:val="left"/>
      <w:pPr>
        <w:ind w:left="360" w:hanging="240"/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i w:val="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i w:val="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автопроверки: «Искусственный интеллект в работе учителя»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