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ind w:firstLine="0"/>
      </w:pPr>
      <w:r>
        <w:rPr>
          <w:rFonts w:ascii="Times New Roman" w:hAnsi="Times New Roman" w:eastAsia="Times New Roman" w:cs="Times New Roman"/>
        </w:rPr>
        <w:t>Отчёт автопроверки: «Анализ данных на Python»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ошибок нет; 2 предупреждения методисту и 1 замечание автопроверки — см. ниже. В приложенном образце найдено ошибок: 15; в программу они не перенесены. Пояснения к сборке — в разделе «Что пропущено и почему».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методисту (с вариантами решения): 2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замечания автопроверки (стоит проверить): 1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72 ч, собрано 72 ч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время сборки комплекта после утверждения каркаса: 2 с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Предупреждения методисту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Здесь — ситуации, где нужно решение методиста или заказчика: агент нашёл их сам по общим правилам. У каждого предупреждения — цифры и варианты решения.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 Ошибки в приложенном образце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приложенном образце «pk_stazhirovka_bsa_248h.docx» найдено 15 расхождений: часы рабочей программы не совпадают с учебно-тематическим планом — 5; суммы и итоги часов в учебных планах — 4; ссылки на нормативные акты (утратившие силу или с неверной датой) — 2; строки с часами, не разнесёнными по видам работы — 1; разные обозначения лабораторных работ — 1; аудиторные часы в стажировке — 1; заполненные реквизиты приказа об утверждении — 1. Главное: в учебном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246; в учебно-тематическом плане образца строка «1.11 Текущий контроль»: 6 ч, а по видам работы везде 0 — часы не распределены (текущий контроль нужно учитывать внутри часов тем); в учебно-тематическом плане образца строка раздела «1 Бизнес- и системный анализ: от требований к работ…» не равна сумме своих тем: ПР — в строке раздела 0, сумма тем 66; ЛБ — в строке раздела 0, сумма тем 6; СРС — в строке раздела 246, сумма тем 168; в учебно-тематическом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246; в учебно-тематическом плане образца сумма по темам и итоговой аттестации не сходится с «Итого»: СРС — в «Итого» 174, сумма тем и итоговой аттестации 168; и ещё 10 — полный список в разделе «Ошибки приложенного образца». В новой программе они не повторяются.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Всего расхождений — 15; Часы рабочей программы не совпадают с учебно-тематическим планом — 5; Суммы и итоги часов в учебных планах — 4; Ссылки на нормативные акты (утратившие силу или с неверной датой) — 2; Строки с часами, не разнесёнными по видам работы — 1; Разные обозначения лабораторных работ — 1; Аудиторные часы в стажировке — 1; Заполненные реквизиты приказа об утверждении — 1.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новой программе не нужно: она собрана заново по шаблону, часы посчитаны программой, и ошибки образца в неё не перенесены.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Передайте список расхождений автору образца — он в полной версии отчёта (report.md), раздел «Ошибки приложенного образца».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Если образец — действующая программа организации, исправьте его, прежде чем использовать снова.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2. Акт из задания утратил силу — в программе указан действующий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Действующий акт — Приказ Минобрнауки России от 24.03.2025 № 266 (действует с 01.09.2025). Приказ Минобрнауки России от 01.07.2013 № 499 утратил силу с 01.09.2025: ссылка на него из задания или образца в программу не переносится. Действующий акт — Постановление Правительства Российской Федерации от 11.10.2023 № 1678 (действует с 01.09.2024). Приказ Минобрнауки России от 23.08.2017 № 816 утратил силу с 01.09.2023: ссылка на него из задания или образца в программу не переносится. Прежний акт упоминается в приложенном образце.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Действующий акт — Приказ Минобрнауки России от 24.03.2025 № 266, действует с 01.09.2025; Прежний акт — Приказ Минобрнауки России от 01.07.2013 № 499 — утратил силу с 01.09.2025; Источник — https://www.consultant.ru/document/cons_doc_LAW_503832/; Действующий акт — Постановление Правительства Российской Федерации от 11.10.2023 № 1678, действует с 01.09.2024; Прежний акт — Приказ Минобрнауки России от 23.08.2017 № 816 — утратил силу с 01.09.2023; Источник — https://www.kontur-extern.ru/info/normativ/document/1/506144-postanovlenie-pravitelstva-rf-ot-11-10-2023-n-1678.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программе не нужно — в ней указан действующий акт.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Обновите ссылку в задании и шаблонах организации: Приказ Минобрнауки России от 24.03.2025 № 266; Постановление Правительства Российской Федерации от 11.10.2023 № 1678.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Проверьте другие программы организации, где ещё указан прежний акт.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Замечания автопроверки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обучения 3.3 раскрывается в темах 3 модулей из 6 (модуль 4 «Визуализация данных», модуль 5 «Основы статистики», модуль 6 «Итоговый проект»): содержание модулей повторяется. Оставьте результат в одном-двух модулях, у остальных — свои результаты. Как исправить: нужно решение методиста: поправьте текст или параметры запроса и пересоберите комплект.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Ошибки приложенного образца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образце, приложенном к запросу, найдено 15 расхождений. В новой программе они исправлены — делать ничего не нужно; список пригодится автору образца.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строка «1.11 Текущий контроль»: 6 ч, а по видам работы везде 0 — часы не распределены (текущий контроль нужно учитывать внутри часов тем).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строка раздела «1 Бизнес- и системный анализ: от требований к работ…» не равна сумме своих тем: ПР — в строке раздела 0, сумма тем 66; ЛБ — в строке раздела 0, сумма тем 6; СРС — в строке раздела 246, сумма тем 168.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сумма по темам и итоговой аттестации не сходится с «Итого»: СРС — в «Итого» 174, сумма тем и итоговой аттестации 168.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Рабочая программа образца, тема 1.6: в подписи «ПР (9 ч)», а в колонке часов 12.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Рабочая программа образца, тема 1.7: в подписи «ПР (6 ч)», а в колонке часов 9.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Тема 1.2 образца: часы в рабочей программе не совпадают с учебно-тематическим планом — СРС — в рабочей программе 12, в УТП 15.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Тема 1.5 образца: часы в рабочей программе не совпадают с учебно-тематическим планом — СРС — в рабочей программе 15, в УТП 18.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Текущий контроль в образце: в рабочей программе 12 ч (3 + 3 + 6), а в учебно-тематическом плане 6 ч.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учебном плане образца лабораторные работы обозначены «ЛБ», а в рабочей программе — «ЛР». В новой программе используется одно обозначение — «ЛБ».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Образец — стажировка, но в учебно-тематическом плане есть аудиторные часы (ЛК, ПР, ЛБ) в строках 1.2 Работа с требованиями: классификация, техники eli…, 1.3 Моделирование бизнес-процессов в нотации BPMN 2.0, 1.4 User Stories, Use Cases и критерии качества требо…, 1.5 UML для аналитика: Use Case, Class, Sequence-диаг…, 1.6 Прототипирование интерфейсов в Figma: wireframes… и ещё 3. У стажировки вся работа самостоятельная: ЛК, ПР и ЛБ равны 0 во всех строках.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образце заполнены номер и дата приказа об утверждении — в новой программе реквизиты приказа остаются пустыми (____).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Образец: «Письмо Минобрнауки России от 01.04.2015 № ВК-1013/06» — по реестру дата акта 21.04.2015.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Образец ссылается на «Приказ Минобрнауки России от 23.08.2017 № 816» — акт утратил силу; действует постановление Правительства РФ от 11.10.2023 № 1678.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Заявлено 72 ч, по учебному плану 72 ч — сходится.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Из них контактная работа — 63 ч (из них с дистанционными технологиями — 31,5 ч), самостоятельная работа — 7 ч, итоговая аттестация — 2 ч.</w:t>
      </w:r>
    </w:p>
    <w:tbl>
      <w:tblPr>
        <w:tblLook w:firstColumn="1" w:firstRow="1" w:lastColumn="0" w:lastRow="0" w:noHBand="0" w:noVBand="1" w:val="04A0"/>
        <w:tblW w:w="9634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19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481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Уровень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1. Основы Python для анализа данных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1.1. Среда разработки и синтаксис Python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1.2. Типы данных, условия и циклы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1.3. Функции и работа с файлами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2. Обработка данных в pandas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2.1. Таблицы pandas: загрузка и просмотр данных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2.2. Фильтрация, группировка и сводные таблицы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2.3. Очистка и объединение данных клиентов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3. SQL для выгрузки данных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3.1. Запросы SQL: выборка и фильтрация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3.2. Объединение таблиц и агрегаты в SQL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4. Визуализация данных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4.1. Графики для банковских показателей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4.2. Дашборд для руководителя отделения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5. Основы статистики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5.1. Описательная статистика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5.2. Корреляция и проверка гипотез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6. Итоговый проект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6.1. Проект на обезличенных банковских данных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19,5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замечаний нет.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 из 9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48"/>
        <w:gridCol w:w="1482"/>
        <w:gridCol w:w="2224"/>
        <w:gridCol w:w="1482"/>
      </w:tblGrid>
      <w:tr>
        <w:trPr>
          <w:tblHeader/>
        </w:trPr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обучения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Темы</w:t>
            </w:r>
          </w:p>
        </w:tc>
        <w:tc>
          <w:tcPr>
            <w:tcW w:type="dxa" w:w="222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Оценочные средства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Знать основные типы данных Python и структуры таблиц pandas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1.1, 1.2, 1.3, 2.1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4,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Уметь загружать, очищать и объединять таблицы в pandas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1.3, 2.1, 2.2, 2.3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4,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Владеть приёмами подготовки банковских данных к анализу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2.3, 6.1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Знать устройство реляционных баз данных и язык запросов SQL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Уметь писать запросы с фильтрами, объединениями и группировкой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3.1, 3.2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Владеть навыком выгрузки нужных данных из базы банка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3.2, 6.1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Знать основные статистические показатели и виды графиков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4.1, 5.1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 Уметь строить графики и рассчитывать описательную статистику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4.1, 4.2, 5.1, 5.2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4,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Владеть навыком подготовки аналитического вывода для руководителя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4.2, 5.2, 6.1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4, задания: 3,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подтверждено: 9 (каталог проверенных изданий — 9)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1 (не прошли проверку ISBN, издательства или года — 1; сверх лимита неподтверждённых — 0)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54"/>
        <w:gridCol w:w="2141"/>
        <w:gridCol w:w="2141"/>
      </w:tblGrid>
      <w:tr>
        <w:trPr>
          <w:tblHeader/>
        </w:trPr>
        <w:tc>
          <w:tcPr>
            <w:tcW w:type="dxa" w:w="535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Подтверждено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Без подтверждения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Заполнено 26 из 26 разделов шаблона. Все разделы шаблона заполнены.</w:t>
      </w:r>
    </w:p>
    <w:tbl>
      <w:tblPr>
        <w:tblLook w:firstColumn="1" w:firstRow="1" w:lastColumn="0" w:lastRow="0" w:noHBand="0" w:noVBand="1" w:val="04A0"/>
        <w:tblW w:w="9637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96"/>
        <w:gridCol w:w="2141"/>
      </w:tblGrid>
      <w:tr>
        <w:trPr>
          <w:tblHeader/>
        </w:trPr>
        <w:tc>
          <w:tcPr>
            <w:tcW w:type="dxa" w:w="749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шаблона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Аннотация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Цель реализации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Планируемые результаты обучения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1.4. Программа разработана на основе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1.5. Перечень профессиональных компетенций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1.6. Требования к слушателям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1.7. Форма обучения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1.8. Объём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1.9. Выдаваемый документ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Учебный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Учебно-тематический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Календарный учебный график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2.4. Рабочая программа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2.5.1. Формы аттестации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2.5.2. Оценочные материалы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2.5.3. Анализ удовлетворённости слушателей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Материально-техническое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3.2.1. Нормативно-правовые документы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3.2.2. 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3.2.3. 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3.2.4. 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3.2.5. Программное обеспечение и информационные системы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Организация образовательного процесса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3.4. Кадровое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1. Оценочные материалы текущего контроля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2. Оценочные материалы итоговой аттестации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 приложенным образцом дословно совпадает 0% текста комплекта (порог — 15%): в норме. Ошибки образца в программу не переносятся.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8 из 8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06"/>
        <w:gridCol w:w="4448"/>
        <w:gridCol w:w="1482"/>
      </w:tblGrid>
      <w:tr>
        <w:trPr>
          <w:tblHeader/>
        </w:trPr>
        <w:tc>
          <w:tcPr>
            <w:tcW w:type="dxa" w:w="370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Комментарий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Ситуации заданий взяты из профессиональной среды слушателей и реалистичны.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 устаревших инструментов, версий и практик.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 предложила источник «Полное руководство по всему», который не удалось подтвердить (ISBN 978-5-4461-0000-1 не проходит проверку контрольной суммы), — он не включён.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Стоимость и время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Вызовов модели: 28, стоимость 0,00 ₽. Комплект собран за 2 с после утверждения каркаса. Шаги генерации заняли 2 с в сумме (часть шагов идёт параллельно); самый долгий — «finalize», 0 с. Режим без модели: вызовы бесплатные.</w:t>
      </w:r>
    </w:p>
    <w:tbl>
      <w:tblPr>
        <w:tblLook w:firstColumn="1" w:firstRow="1" w:lastColumn="0" w:lastRow="0" w:noHBand="0" w:noVBand="1" w:val="04A0"/>
        <w:tblW w:w="9635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42"/>
        <w:gridCol w:w="1376"/>
        <w:gridCol w:w="2065"/>
        <w:gridCol w:w="1376"/>
        <w:gridCol w:w="1376"/>
      </w:tblGrid>
      <w:tr>
        <w:trPr>
          <w:tblHeader/>
        </w:trPr>
        <w:tc>
          <w:tcPr>
            <w:tcW w:type="dxa" w:w="34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Шаг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Вызовов</w:t>
            </w:r>
          </w:p>
        </w:tc>
        <w:tc>
          <w:tcPr>
            <w:tcW w:type="dxa" w:w="206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Токены (вход / выход)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₽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Тексты программы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Литература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Рабочая программа модулей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Лекции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Практические задания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Смысловая проверка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28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Проверка выгрузок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Файлы program.docx, slides.pptx, tests.gift, tests_moodle.xml, tests.csv, report.docx перечитаны после записи и сверены с комплектом: расхождений нет.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–"/>
      <w:lvlJc w:val="left"/>
      <w:pPr>
        <w:ind w:left="538" w:hanging="358"/>
      </w:pPr>
      <w:rPr>
        <w:rFonts w:ascii="Times New Roman" w:hAnsi="Times New Roman" w:cs="Times New Roman"/>
      </w:rPr>
    </w:lvl>
  </w:abstractNum>
  <w:abstractNum w:abstractNumId="10">
    <w:multiLevelType w:val="singleLevel"/>
    <w:lvl w:ilvl="0">
      <w:start w:val="1"/>
      <w:numFmt w:val="bullet"/>
      <w:lvlText w:val="–"/>
      <w:lvlJc w:val="left"/>
      <w:pPr>
        <w:ind w:left="360" w:hanging="24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автопроверки: «Анализ данных на Python»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