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Автономная некоммерческая организация</w:t>
      </w:r>
    </w:p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дополнительного профессионального образования</w:t>
      </w:r>
    </w:p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«Академия Информационных Технологий»</w:t>
      </w:r>
    </w:p>
    <w:p>
      <w:pPr>
        <w:spacing w:before="0" w:after="8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</w:rPr>
        <w:t>___________________________________________</w:t>
      </w:r>
    </w:p>
    <w:p>
      <w:pPr>
        <w:spacing w:before="0" w:after="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0"/>
        </w:rPr>
        <w:t>ОГРН: 1230600003457, ИНН/КПП: 0600010064/060001001</w:t>
      </w:r>
    </w:p>
    <w:p>
      <w:pPr>
        <w:spacing w:before="0" w:after="40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0"/>
        </w:rPr>
        <w:t>Российская Федерация, 386001, Республика Ингушетия, г. Магас, ул. Н.С. Хрущева, д. 10</w:t>
      </w:r>
    </w:p>
    <w:p>
      <w:pPr>
        <w:spacing w:before="0" w:after="6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/>
        </w:rPr>
        <w:t>УТВЕРЖДЕНО</w:t>
      </w:r>
    </w:p>
    <w:p>
      <w:pPr>
        <w:spacing w:before="0" w:after="60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sz w:val="22"/>
        </w:rPr>
        <w:t>Приказом № ____-ОБР от «___» __________ 20__ г.</w:t>
      </w:r>
    </w:p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ДОПОЛНИТЕЛЬНАЯ ПРОФЕССИОНАЛЬНАЯ ПРОГРАММА</w:t>
      </w:r>
    </w:p>
    <w:p>
      <w:pPr>
        <w:spacing w:before="0" w:after="48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ПОВЫШЕНИЯ КВАЛИФИКАЦИИ</w:t>
      </w:r>
    </w:p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26"/>
        </w:rPr>
        <w:t>«Основы кибербезопасности»</w:t>
      </w:r>
    </w:p>
    <w:p>
      <w:pPr>
        <w:spacing w:before="4600" w:after="8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</w:rPr>
        <w:t>Магас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</w:rPr>
        <w:t>2026</w:t>
      </w:r>
    </w:p>
    <w:p>
      <w:pPr>
        <w:pStyle w:val="1"/>
        <w:keepNext/>
        <w:pageBreakBefore/>
        <w:ind w:firstLine="0"/>
      </w:pPr>
      <w:r>
        <w:rPr>
          <w:rFonts w:ascii="Times New Roman" w:hAnsi="Times New Roman" w:eastAsia="Times New Roman" w:cs="Times New Roman"/>
        </w:rPr>
        <w:t>1. ОБЩАЯ ХАРАКТЕРИСТИКА ДОПОЛНИТЕЛЬНОЙ ПРОФЕССИОНАЛЬНОЙ ПРОГРАММЫ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1.1. Аннотация программы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Программа «Основы кибербезопасности» адресована: студенты колледжа. Слушатели осваивают инструменты и приёмы, которые сразу применяют в своей работе, выполняют практические задания на материале своей сферы и завершают обучение итоговой работой.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1.2. Цель реализации программы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Сформировать у студентов колледжа начальные компетенции в области защиты информации: настройке средств защиты, мониторинге событий безопасности и разборе инцидентов.</w:t>
      </w:r>
    </w:p>
    <w:p>
      <w:pPr>
        <w:keepNext/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Программа направлена на совершенствование профессиональных компетенций, необходимых для выполнения трудовых функций: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A/01.5 Техническое обслуживание программно-аппаратных средств защиты информации в операционных системах (профессиональный стандарт 06.032)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A/02.5 Техническое обслуживание программно-аппаратных средств защиты информации в компьютерных сетях (профессиональный стандарт 06.032)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1.3. Планируемые результаты обучения</w:t>
      </w:r>
    </w:p>
    <w:tbl>
      <w:tblPr>
        <w:tblLook w:firstColumn="1" w:firstRow="1" w:lastColumn="0" w:lastRow="0" w:noHBand="0" w:noVBand="1" w:val="04A0"/>
        <w:tblW w:w="9770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750"/>
        <w:gridCol w:w="1960"/>
        <w:gridCol w:w="2020"/>
        <w:gridCol w:w="2020"/>
        <w:gridCol w:w="2020"/>
      </w:tblGrid>
      <w:tr>
        <w:trPr>
          <w:tblHeader/>
        </w:trPr>
        <w:tc>
          <w:tcPr>
            <w:tcW w:type="dxa" w:w="17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Виды деятельности</w:t>
            </w:r>
          </w:p>
        </w:tc>
        <w:tc>
          <w:tcPr>
            <w:tcW w:type="dxa" w:w="196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Профессиональные компетенции</w:t>
            </w:r>
          </w:p>
        </w:tc>
        <w:tc>
          <w:tcPr>
            <w:tcW w:type="dxa" w:w="202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Практический опыт</w:t>
            </w:r>
          </w:p>
        </w:tc>
        <w:tc>
          <w:tcPr>
            <w:tcW w:type="dxa" w:w="202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Умения</w:t>
            </w:r>
          </w:p>
        </w:tc>
        <w:tc>
          <w:tcPr>
            <w:tcW w:type="dxa" w:w="202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Знания</w:t>
            </w:r>
          </w:p>
        </w:tc>
      </w:tr>
      <w:tr>
        <w:tc>
          <w:tcPr>
            <w:tcW w:type="dxa" w:w="17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информации</w:t>
            </w:r>
          </w:p>
        </w:tc>
        <w:tc>
          <w:tcPr>
            <w:tcW w:type="dxa" w:w="196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Настраивать базовые средства защиты информации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Владеть приёмами проверки настроек защиты на учебном стенде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Уметь настраивать базовые параметры защиты сети и операционной системы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Знать назначение межсетевых экранов, средств защиты от вредоносного кода и систем обнаружения вторжений</w:t>
            </w:r>
          </w:p>
        </w:tc>
      </w:tr>
      <w:tr>
        <w:tc>
          <w:tcPr>
            <w:tcW w:type="dxa" w:w="17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информации</w:t>
            </w:r>
          </w:p>
        </w:tc>
        <w:tc>
          <w:tcPr>
            <w:tcW w:type="dxa" w:w="196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Выявлять и разбирать инциденты информационной безопасности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Владеть навыком разбора простого инцидента по шагам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Уметь находить признаки атаки в журналах событий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Знать типовые инциденты безопасности и порядок реагирования на них</w:t>
            </w:r>
          </w:p>
        </w:tc>
      </w:tr>
      <w:tr>
        <w:tc>
          <w:tcPr>
            <w:tcW w:type="dxa" w:w="17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информации</w:t>
            </w:r>
          </w:p>
        </w:tc>
        <w:tc>
          <w:tcPr>
            <w:tcW w:type="dxa" w:w="196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Применять требования к защите информации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Владеть навыком оформления результатов проверки защищённости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Уметь оценивать угрозы для простой информационной системы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Знать основные требования к защите информации в организации</w:t>
            </w:r>
          </w:p>
        </w:tc>
      </w:tr>
    </w:tbl>
    <w:p>
      <w:pPr>
        <w:spacing w:before="0" w:after="120"/>
        <w:ind w:firstLine="0"/>
      </w:pP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1.4. Программа разработана на основе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Профессиональный стандарт 06.032 «Специалист по безопасности компьютерных систем и сетей», приказ Минтруда России от 14.09.2022 № 533н (действует с 01.03.2023 до 01.03.2029)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Федеральный закон от 29.12.2012 № 273-ФЗ «Об образовании в Российской Федерации»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Приказ Минобрнауки России от 24.03.2025 № 266 «Об утверждении Порядка организации и осуществления образовательной деятельности по дополнительным профессиональным программам»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1.5. Перечень профессиональных компетенций в рамках имеющейся квалификации, качественное изменение которых осуществляется в результате обучения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ПК-1. Настраивать базовые средства защиты информации (трудовые функции: A/01.5)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ПК-2. Выявлять и разбирать инциденты информационной безопасности (трудовые функции: A/02.5)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ПК-3. Применять требования к защите информации (трудовые функции: A/01.5)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1.6. Требования к слушателям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 освоению программы допускаются лица, имеющие среднее профессиональное и (или) высшее образование, а также лица, получающие среднее профессиональное и (или) высшее образование.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 обучению допускаются: студенты колледжа. Специальной подготовки не требуется сверх указанной в программе.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Категория слушателей: </w:t>
      </w:r>
      <w:r>
        <w:rPr>
          <w:rFonts w:ascii="Times New Roman" w:hAnsi="Times New Roman" w:eastAsia="Times New Roman" w:cs="Times New Roman"/>
          <w:b w:val="0"/>
        </w:rPr>
        <w:t>студенты колледжа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Входной уровень: </w:t>
      </w:r>
      <w:r>
        <w:rPr>
          <w:rFonts w:ascii="Times New Roman" w:hAnsi="Times New Roman" w:eastAsia="Times New Roman" w:cs="Times New Roman"/>
          <w:b w:val="0"/>
        </w:rPr>
        <w:t>Студенты 3 курса специальности «Информационные системы и программирование», знают основы сетей и Linux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1.7. Форма обучения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обучения — очная.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Обучение проходит по расписанию: теория сразу закрепляется практикой, на каждом занятии слушатели выполняют задание и получают обратную связь преподавателя.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1.8. Объём программы</w:t>
      </w:r>
    </w:p>
    <w:p>
      <w:pPr>
        <w:keepNext/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Объём программы — 72 часа, в том числе: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контактная работа (лекции, практические и лабораторные занятия) — 63 часа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самостоятельная работа слушателей — 7 часов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итоговая аттестация — 2 часа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срок обучения — 4 нед. (18 учебных дн.), не более 6 часов в день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1.9. Выдаваемый документ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Удостоверение о повышении квалификации установленного образца. Документ выдаётся лицам, успешно освоившим программу и прошедшим итоговую аттестацию.</w:t>
      </w:r>
    </w:p>
    <w:p>
      <w:pPr>
        <w:pStyle w:val="1"/>
        <w:keepNext/>
        <w:pageBreakBefore/>
        <w:ind w:firstLine="0"/>
      </w:pPr>
      <w:r>
        <w:rPr>
          <w:rFonts w:ascii="Times New Roman" w:hAnsi="Times New Roman" w:eastAsia="Times New Roman" w:cs="Times New Roman"/>
        </w:rPr>
        <w:t>2. СОДЕРЖАНИЕ ПРОГРАММЫ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2.1. Учебный план</w:t>
      </w:r>
    </w:p>
    <w:tbl>
      <w:tblPr>
        <w:tblLook w:firstColumn="1" w:firstRow="1" w:lastColumn="0" w:lastRow="0" w:noHBand="0" w:noVBand="1" w:val="04A0"/>
        <w:tblW w:w="963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544"/>
        <w:gridCol w:w="1947"/>
        <w:gridCol w:w="1939"/>
        <w:gridCol w:w="841"/>
        <w:gridCol w:w="842"/>
        <w:gridCol w:w="841"/>
        <w:gridCol w:w="842"/>
        <w:gridCol w:w="1842"/>
      </w:tblGrid>
      <w:tr>
        <w:trPr>
          <w:tblHeader/>
        </w:trPr>
        <w:tc>
          <w:tcPr>
            <w:tcW w:type="dxa" w:w="544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№ п/п</w:t>
            </w:r>
          </w:p>
        </w:tc>
        <w:tc>
          <w:tcPr>
            <w:tcW w:type="dxa" w:w="194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Наименование разделов программы</w:t>
            </w:r>
          </w:p>
        </w:tc>
        <w:tc>
          <w:tcPr>
            <w:tcW w:type="dxa" w:w="1939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Трудоёмкость, всего (час.)</w:t>
            </w:r>
          </w:p>
        </w:tc>
        <w:tc>
          <w:tcPr>
            <w:tcW w:type="dxa" w:w="841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</w:t>
            </w:r>
          </w:p>
        </w:tc>
        <w:tc>
          <w:tcPr>
            <w:tcW w:type="dxa" w:w="842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</w:t>
            </w:r>
          </w:p>
        </w:tc>
        <w:tc>
          <w:tcPr>
            <w:tcW w:type="dxa" w:w="841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ЛБ</w:t>
            </w:r>
          </w:p>
        </w:tc>
        <w:tc>
          <w:tcPr>
            <w:tcW w:type="dxa" w:w="842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(час.)</w:t>
            </w:r>
          </w:p>
        </w:tc>
        <w:tc>
          <w:tcPr>
            <w:tcW w:type="dxa" w:w="1842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Форма аттестации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Основы информационной безопасности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тест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компьютерных сетей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16,5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операционных систем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Мониторинг событий и инциденты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16,5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4,5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Практикум на учебном стенде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лабораторная работа</w:t>
            </w:r>
          </w:p>
        </w:tc>
      </w:tr>
      <w:tr>
        <w:tc>
          <w:tcPr>
            <w:tcW w:type="dxa" w:w="2491"/>
            <w:gridSpan w:val="2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Итоговая аттестация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Экзамен с практическим заданием</w:t>
            </w:r>
          </w:p>
        </w:tc>
      </w:tr>
      <w:tr>
        <w:tc>
          <w:tcPr>
            <w:tcW w:type="dxa" w:w="2491"/>
            <w:gridSpan w:val="2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 (час.)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72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17,5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29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16,5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7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</w:tr>
    </w:tbl>
    <w:p>
      <w:pPr>
        <w:spacing w:before="0" w:after="120"/>
        <w:ind w:firstLine="0"/>
      </w:pP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2.2. Учебно-тематический план</w:t>
      </w:r>
    </w:p>
    <w:tbl>
      <w:tblPr>
        <w:tblLook w:firstColumn="1" w:firstRow="1" w:lastColumn="0" w:lastRow="0" w:noHBand="0" w:noVBand="1" w:val="04A0"/>
        <w:tblW w:w="963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640"/>
        <w:gridCol w:w="2008"/>
        <w:gridCol w:w="1748"/>
        <w:gridCol w:w="850"/>
        <w:gridCol w:w="850"/>
        <w:gridCol w:w="850"/>
        <w:gridCol w:w="850"/>
        <w:gridCol w:w="1842"/>
      </w:tblGrid>
      <w:tr>
        <w:trPr>
          <w:tblHeader/>
        </w:trPr>
        <w:tc>
          <w:tcPr>
            <w:tcW w:type="dxa" w:w="64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№ п/п</w:t>
            </w:r>
          </w:p>
        </w:tc>
        <w:tc>
          <w:tcPr>
            <w:tcW w:type="dxa" w:w="2008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Наименование разделов, тем программы</w:t>
            </w:r>
          </w:p>
        </w:tc>
        <w:tc>
          <w:tcPr>
            <w:tcW w:type="dxa" w:w="1748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Трудоёмкость, всего (час.)</w:t>
            </w:r>
          </w:p>
        </w:tc>
        <w:tc>
          <w:tcPr>
            <w:tcW w:type="dxa" w:w="8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</w:t>
            </w:r>
          </w:p>
        </w:tc>
        <w:tc>
          <w:tcPr>
            <w:tcW w:type="dxa" w:w="8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</w:t>
            </w:r>
          </w:p>
        </w:tc>
        <w:tc>
          <w:tcPr>
            <w:tcW w:type="dxa" w:w="8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ЛБ</w:t>
            </w:r>
          </w:p>
        </w:tc>
        <w:tc>
          <w:tcPr>
            <w:tcW w:type="dxa" w:w="8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(час.)</w:t>
            </w:r>
          </w:p>
        </w:tc>
        <w:tc>
          <w:tcPr>
            <w:tcW w:type="dxa" w:w="1842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Форма контроля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Основы информационной безопасности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тест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Угрозы и уязвимости информационных систем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опрос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Требования к защите информации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тест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1.3.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Оценка рисков для информационной системы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Защита компьютерных сетей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16,5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Межсетевые экраны и сегментация сети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лабораторная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Защищённые протоколы и удалённый доступ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2.3.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Обнаружение вторжений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лабораторная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3.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Защита операционных систем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Безопасная настройка Linux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лабораторная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Безопасная настройка Windows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лабораторная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3.3.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Учётные записи и разграничение доступа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Мониторинг событий и инциденты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16,5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Журналы событий и их анализ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лабораторная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Системы мониторинга событий безопасности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4.3.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Реагирование на инциденты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кейс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5.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Практикум на учебном стенде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лабораторная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Поиск уязвимостей на стенде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лабораторная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Разбор инцидента на стенде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лабораторная работа</w:t>
            </w:r>
          </w:p>
        </w:tc>
      </w:tr>
      <w:tr>
        <w:tc>
          <w:tcPr>
            <w:tcW w:type="dxa" w:w="2648"/>
            <w:gridSpan w:val="2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Итоговая аттестация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Экзамен с практическим заданием</w:t>
            </w:r>
          </w:p>
        </w:tc>
      </w:tr>
      <w:tr>
        <w:tc>
          <w:tcPr>
            <w:tcW w:type="dxa" w:w="2648"/>
            <w:gridSpan w:val="2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 (час.)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72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17,5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29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16,5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7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</w:tr>
    </w:tbl>
    <w:p>
      <w:pPr>
        <w:spacing w:before="0" w:after="120"/>
        <w:ind w:firstLine="0"/>
      </w:pP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2.3. Календарный учебный график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Срок обучения — 4 нед., 18 учебных дн., не более 6 часов в день. Даты начала и окончания обучения устанавливаются приказом о зачислении слушателей.</w:t>
      </w:r>
    </w:p>
    <w:tbl>
      <w:tblPr>
        <w:tblLook w:firstColumn="1" w:firstRow="1" w:lastColumn="0" w:lastRow="0" w:noHBand="0" w:noVBand="1" w:val="04A0"/>
        <w:tblW w:w="963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100"/>
        <w:gridCol w:w="1300"/>
        <w:gridCol w:w="5638"/>
        <w:gridCol w:w="1600"/>
      </w:tblGrid>
      <w:tr>
        <w:trPr>
          <w:tblHeader/>
        </w:trPr>
        <w:tc>
          <w:tcPr>
            <w:tcW w:type="dxa" w:w="11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Неделя</w:t>
            </w:r>
          </w:p>
        </w:tc>
        <w:tc>
          <w:tcPr>
            <w:tcW w:type="dxa" w:w="13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Учебные дни</w:t>
            </w:r>
          </w:p>
        </w:tc>
        <w:tc>
          <w:tcPr>
            <w:tcW w:type="dxa" w:w="5638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Разделы и темы</w:t>
            </w:r>
          </w:p>
        </w:tc>
        <w:tc>
          <w:tcPr>
            <w:tcW w:type="dxa" w:w="16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Часов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1.1, Тема 1.2, Тема 1.3, Тема 2.1, Тема 2.2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20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2.2, Тема 2.3, Тема 3.1, Тема 3.2, Тема 3.3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20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3.3, Тема 4.1, Тема 4.2, Тема 4.3, Тема 5.1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20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5.1, Тема 5.2, Итоговая аттестация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</w:t>
            </w:r>
          </w:p>
        </w:tc>
      </w:tr>
      <w:tr>
        <w:tc>
          <w:tcPr>
            <w:tcW w:type="dxa" w:w="8038"/>
            <w:gridSpan w:val="3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 (час.)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72</w:t>
            </w:r>
          </w:p>
        </w:tc>
      </w:tr>
    </w:tbl>
    <w:p>
      <w:pPr>
        <w:spacing w:before="0" w:after="120"/>
        <w:ind w:firstLine="0"/>
      </w:pP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2.4. Рабочая программа</w:t>
      </w:r>
    </w:p>
    <w:tbl>
      <w:tblPr>
        <w:tblLook w:firstColumn="1" w:firstRow="1" w:lastColumn="0" w:lastRow="0" w:noHBand="0" w:noVBand="1" w:val="04A0"/>
        <w:tblW w:w="9640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400"/>
        <w:gridCol w:w="5200"/>
        <w:gridCol w:w="1040"/>
      </w:tblGrid>
      <w:tr>
        <w:trPr>
          <w:tblHeader/>
        </w:trPr>
        <w:tc>
          <w:tcPr>
            <w:tcW w:type="dxa" w:w="34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Наименование компонентов программы</w:t>
            </w:r>
          </w:p>
        </w:tc>
        <w:tc>
          <w:tcPr>
            <w:tcW w:type="dxa" w:w="52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Содержание учебного материала и формы организации деятельности слушателей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Всего (час.)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1. Основы информационной безопасности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1.1. Угрозы и уязвимости информационных систем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(2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«Угрозы и уязвимости информационных систем»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угрозы и уязвимости информационных систем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угрозы и уязвимости информационных систем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«Угрозы и уязвимости информационных систем»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угрозы и уязвимости информационных систем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угрозы и уязвимости информационных систем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«Угрозы и уязвимости информационных систем»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угрозы и уязвимости информационных систем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угрозы и уязвимости информационных систем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1.2. Требования к защите информации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(2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«Требования к защите информации»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требования к защите информации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требования к защите информации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(1,5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«Требования к защите информации»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требования к защите информации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требования к защите информации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«Требования к защите информации»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требования к защите информации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требования к защите информации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1.3. Оценка рисков для информационной системы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«Оценка рисков для информационной системы»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оценка рисков для информационной системы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оценка рисков для информационной системы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«Оценка рисков для информационной системы»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оценка рисков для информационной системы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оценка рисков для информационной системы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«Оценка рисков для информационной системы»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оценка рисков для информационной системы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оценка рисков для информационной системы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2. Защита компьютерных сетей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16,5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2.1. Межсетевые экраны и сегментация сети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«Межсетевые экраны и сегментация сети»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межсетевые экраны и сегментация сети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межсетевые экраны и сегментация сети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«Межсетевые экраны и сегментация сети»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межсетевые экраны и сегментация сети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межсетевые экраны и сегментация сети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ЛБ (2,5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стенда для работы «Межсетевые экраны и сегментация сети»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лабораторной работы: межсетевые экраны и сегментация сети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Оформление результатов: межсетевые экраны и сегментация сети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«Межсетевые экраны и сегментация сети»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межсетевые экраны и сегментация сети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межсетевые экраны и сегментация сети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2.2. Защищённые протоколы и удалённый доступ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«Защищённые протоколы и удалённый доступ»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защищённые протоколы и удалённый доступ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защищённые протоколы и удалённый доступ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«Защищённые протоколы и удалённый доступ»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защищённые протоколы и удалённый доступ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защищённые протоколы и удалённый доступ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«Защищённые протоколы и удалённый доступ»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защищённые протоколы и удалённый доступ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защищённые протоколы и удалённый доступ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2.3. Обнаружение вторжений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«Обнаружение вторжений»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обнаружение вторжений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обнаружение вторжений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«Обнаружение вторжений»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обнаружение вторжений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обнаружение вторжений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ЛБ (2,5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стенда для работы «Обнаружение вторжений»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лабораторной работы: обнаружение вторжений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Оформление результатов: обнаружение вторжений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«Обнаружение вторжений»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обнаружение вторжений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обнаружение вторжений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3. Защита операционных систем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3.1. Безопасная настройка Linux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«Безопасная настройка Linux»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безопасная настройка linux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безопасная настройка linux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(1,5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«Безопасная настройка Linux»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безопасная настройка linux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безопасная настройка linux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ЛБ (2,5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стенда для работы «Безопасная настройка Linux»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лабораторной работы: безопасная настройка linux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Оформление результатов: безопасная настройка linux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«Безопасная настройка Linux»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безопасная настройка linux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безопасная настройка linux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3.2. Безопасная настройка Windows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«Безопасная настройка Windows»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безопасная настройка windows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безопасная настройка windows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«Безопасная настройка Windows»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безопасная настройка windows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безопасная настройка windows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ЛБ (1,5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стенда для работы «Безопасная настройка Windows»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лабораторной работы: безопасная настройка windows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Оформление результатов: безопасная настройка windows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«Безопасная настройка Windows»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безопасная настройка windows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безопасная настройка windows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3.3. Учётные записи и разграничение доступа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«Учётные записи и разграничение доступа»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учётные записи и разграничение доступа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учётные записи и разграничение доступа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«Учётные записи и разграничение доступа»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учётные записи и разграничение доступа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учётные записи и разграничение доступа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«Учётные записи и разграничение доступа»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учётные записи и разграничение доступа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учётные записи и разграничение доступа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4. Мониторинг событий и инциденты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16,5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4.1. Журналы событий и их анализ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«Журналы событий и их анализ»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журналы событий и их анализ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журналы событий и их анализ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«Журналы событий и их анализ»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журналы событий и их анализ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журналы событий и их анализ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ЛБ (2,5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стенда для работы «Журналы событий и их анализ»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лабораторной работы: журналы событий и их анализ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Оформление результатов: журналы событий и их анализ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«Журналы событий и их анализ»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журналы событий и их анализ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журналы событий и их анализ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4.2. Системы мониторинга событий безопасности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«Системы мониторинга событий безопасности»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системы мониторинга событий безопасности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системы мониторинга событий безопасности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«Системы мониторинга событий безопасности»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системы мониторинга событий безопасности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системы мониторинга событий безопасности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«Системы мониторинга событий безопасности»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системы мониторинга событий безопасности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системы мониторинга событий безопасности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4.3. Реагирование на инциденты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(2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«Реагирование на инциденты»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реагирование на инциденты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реагирование на инциденты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(3,5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«Реагирование на инциденты»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реагирование на инциденты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реагирование на инциденты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«Реагирование на инциденты»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реагирование на инциденты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реагирование на инциденты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5. Практикум на учебном стенде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12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5.1. Поиск уязвимостей на стенде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«Поиск уязвимостей на стенде»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поиск уязвимостей на стенде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поиск уязвимостей на стенде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«Поиск уязвимостей на стенде»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поиск уязвимостей на стенде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поиск уязвимостей на стенде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ЛБ (2,5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стенда для работы «Поиск уязвимостей на стенде»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лабораторной работы: поиск уязвимостей на стенде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Оформление результатов: поиск уязвимостей на стенде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«Поиск уязвимостей на стенде»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поиск уязвимостей на стенде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поиск уязвимостей на стенде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5.2. Разбор инцидента на стенде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«Разбор инцидента на стенде»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разбор инцидента на стенде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разбор инцидента на стенде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«Разбор инцидента на стенде»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разбор инцидента на стенде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разбор инцидента на стенде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ЛБ (2,5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стенда для работы «Разбор инцидента на стенде»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лабораторной работы: разбор инцидента на стенде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Оформление результатов: разбор инцидента на стенде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«Разбор инцидента на стенде»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разбор инцидента на стенде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разбор инцидента на стенде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Итоговая аттестация</w:t>
            </w:r>
          </w:p>
        </w:tc>
        <w:tc>
          <w:tcPr>
            <w:tcW w:type="dxa" w:w="52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Экзамен с практическим заданием на стенде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</w:tr>
      <w:tr>
        <w:tc>
          <w:tcPr>
            <w:tcW w:type="dxa" w:w="3400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</w:t>
            </w:r>
          </w:p>
        </w:tc>
        <w:tc>
          <w:tcPr>
            <w:tcW w:type="dxa" w:w="52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72</w:t>
            </w:r>
          </w:p>
        </w:tc>
      </w:tr>
    </w:tbl>
    <w:p>
      <w:pPr>
        <w:spacing w:before="0" w:after="120"/>
        <w:ind w:firstLine="0"/>
      </w:pP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2.5. Оценка качества освоения программы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Качество освоения программы оценивается в ходе текущего контроля по разделам и на итоговой аттестации. К итоговой аттестации допускаются слушатели, выполнившие все задания текущего контроля.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2.5.1. Формы текущего контроля и итоговой аттестации</w:t>
      </w:r>
    </w:p>
    <w:p>
      <w:pPr>
        <w:keepNext/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Текущий контроль по разделам программы: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1. «Основы информационной безопасности» — тест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2. «Защита компьютерных сетей» — практическая работа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3. «Защита операционных систем» — практическая работа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4. «Мониторинг событий и инциденты» — практическая работа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5. «Практикум на учебном стенде» — лабораторная работа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Итоговая аттестация — экзамен с практическим заданием (2 часа). «Зачтено» — не меньше 6 баллов из 10 и ни по одному критерию не 0 баллов.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Результат итоговой аттестации — «зачтено» или «не зачтено».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2.5.2. Оценочные материалы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Оценочные материалы текущего контроля приведены в Приложении 1, оценочные материалы итоговой аттестации — в Приложении 2.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2.5.3. Анализ удовлетворённости слушателей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После завершения обучения слушатели заполняют анонимную анкету об удовлетворённости содержанием, организацией и работой преподавателей; результаты учитываются при обновлении программы.</w:t>
      </w:r>
    </w:p>
    <w:p>
      <w:pPr>
        <w:pStyle w:val="1"/>
        <w:keepNext/>
        <w:pageBreakBefore/>
        <w:ind w:firstLine="0"/>
      </w:pPr>
      <w:r>
        <w:rPr>
          <w:rFonts w:ascii="Times New Roman" w:hAnsi="Times New Roman" w:eastAsia="Times New Roman" w:cs="Times New Roman"/>
        </w:rPr>
        <w:t>3. ОРГАНИЗАЦИОННО-ПЕДАГОГИЧЕСКИЕ УСЛОВИЯ РЕАЛИЗАЦИИ ПРОГРАММЫ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3.1. Материально-техническое обеспечение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Учебная аудитория с проектором и маркерной доской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Компьютеры для каждого слушателя с доступом к сети Интернет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Учебная среда для выполнения практических заданий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Электронная информационно-образовательная среда для материалов и заданий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 Учебно-методическое и информационное обеспечение</w:t>
      </w:r>
    </w:p>
    <w:p>
      <w:pPr>
        <w:keepNext/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Учебно-методическое и информационное обеспечение программы включает: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3.2.1. Нормативно-правовые документы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Федеральный закон от 29.12.2012 № 273-ФЗ «Об образовании в Российской Федерации»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Приказ Минобрнауки России от 24.03.2025 № 266 «Об утверждении Порядка организации и осуществления образовательной деятельности по дополнительным профессиональным программам»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Профессиональный стандарт 06.032 «Специалист по безопасности компьютерных систем и сетей», приказ Минтруда России от 14.09.2022 № 533н (действует с 01.03.2023 до 01.03.2029)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3.2.2. Основная литература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Баранова Е. К., Бабаш А. В. Информационная безопасность и защита информации : учебное пособие. — ИНФРА-М, 2026. — ISBN 978-5-16-021869-4. — URL: https://rusneb.ru/catalog/000200_000018_RU_NLR_BIBL_A_022803503/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Таненбаум Э., Фимстер Н., Уэзеролл Д. Компьютерные сети. — Питер, 2023. — ISBN 978-5-4461-1766-6. — URL: https://rusneb.ru/catalog/000200_000018_RU_NLR_BIBL_A_016354472/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Колисниченко Д. Н. Linux. Полное руководство по работе и администрированию. — Наука и техника, 2021. — ISBN 978-5-94387-608-0. — URL: https://rusneb.ru/catalog/000199_000009_010465452/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3.2.3. Дополнительная литература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Вовк Е. Т. Astra Linux : руководство по национальной операционной системе и совместимым офисным программам. — Манн, Иванов и Фербер, 2022. — ISBN 978-5-00195-136-0. — URL: https://rusneb.ru/catalog/000199_000009_010995796/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Олифер В. Г., Олифер Н. А. Компьютерные сети. Принципы, технологии, протоколы. — Питер, 2020. — ISBN 978-5-4461-1426-9. — URL: https://rusneb.ru/catalog/000199_000009_010313053/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Немет Э., Снайдер Г., Хейн Т. Unix и Linux : руководство системного администратора. — Диалектика, 2020. — ISBN 978-5-907144-10-1. — URL: https://rusneb.ru/catalog/000199_000009_010383262/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3.2.4. Интернет-ресурсы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Банк данных угроз безопасности информации ФСТЭК России. — URL: https://bdu.fstec.ru/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Справочный центр Astra Linux (Wiki-библиотека). — URL: https://wiki.astralinux.ru/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Документация ALT Linux Team. — URL: https://docs.altlinux.org/ru-RU/index.html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3.2.5. Программное обеспечение и информационные системы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МойОфис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Браузер Яндекс Браузер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Система дистанционного обучения Moodle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3.3. Организация образовательного процесса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Занятия проводятся по учебному плану и календарному графику. Практические задания выполняются на занятиях и самостоятельно, результаты проверяет преподаватель.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3.4. Кадровое обеспечение образовательного процесса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Преподаватели с высшим образованием по профилю программы и опытом практической работы в этой сфере.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Преподаватель: </w:t>
      </w:r>
      <w:r>
        <w:rPr>
          <w:rFonts w:ascii="Times New Roman" w:hAnsi="Times New Roman" w:eastAsia="Times New Roman" w:cs="Times New Roman"/>
          <w:b w:val="0"/>
        </w:rPr>
        <w:t>____ (ФИО), ____ (должность)</w:t>
      </w:r>
    </w:p>
    <w:p>
      <w:pPr>
        <w:pStyle w:val="1"/>
        <w:keepNext/>
        <w:pageBreakBefore/>
        <w:ind w:firstLine="0"/>
        <w:jc w:val="right"/>
      </w:pPr>
      <w:r>
        <w:rPr>
          <w:rFonts w:ascii="Times New Roman" w:hAnsi="Times New Roman" w:eastAsia="Times New Roman" w:cs="Times New Roman"/>
        </w:rPr>
        <w:t>Приложение 1</w:t>
      </w:r>
    </w:p>
    <w:p>
      <w:pPr>
        <w:keepNext/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Оценочные материалы текущего контроля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1. Основы информационной безопасности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тест.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Тест (6 вопр.). Тест считается пройденным при 70 % верных ответов.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Вопрос 1 к результату «Знать основные требования к защите инфор»: что верно о исходных данных с точки зрения практики?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1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в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Вопрос 2 к результату «Знать основные требования к защите инфор»: что верно о порядке действий с точки зрения безопасности?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А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Б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В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Г к вопросу 2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б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Вопрос 3 к результату «Уметь оценивать угрозы для простой инфор»: что верно о типичной ошибке с точки зрения сроков?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3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а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Вопрос 4 к результату «Уметь оценивать угрозы для простой инфор»: что верно о проверке результата с точки зрения документации?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4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б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5. Вопрос 5 к результату «Владеть навыком оформления результатов п»: что верно о назначении инструмента с точки зрения надёжности?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5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в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6. Вопрос 6 к результату «Владеть навыком оформления результатов п»: что верно о ограничениях метода с точки зрения удобства?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6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в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Угрозы и уязвимости информационных систем» (тема 1.1)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«Угрозы и уязвимости информационных систем».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«Угрозы и уязвимости информационных систем»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баллов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Требования к защите информации» (тема 1.2)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«Требования к защите информации».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«Требования к защите информации»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баллов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Оценка рисков для информационной системы» (тема 1.3)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«Оценка рисков для информационной системы».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«Оценка рисков для информационной системы»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баллов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2. Защита компьютерных сетей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практическая работа.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Тест (6 вопр.). Тест считается пройденным при 70 % верных ответов.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Вопрос 7 к результату «Знать назначение межсетевых экранов, сре»: что верно о выборе решения с точки зрения стоимости?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7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7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7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7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а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Вопрос 8 к результату «Знать назначение межсетевых экранов, сре»: что верно о оформлении вывода с точки зрения практики?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Б к вопросу 8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В к вопросу 8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Г к вопросу 8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А к вопросу 8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в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Вопрос 9 к результату «Уметь настраивать базовые параметры защи»: что верно о настройке параметров с точки зрения безопасности?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Б к вопросу 9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В к вопросу 9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Г к вопросу 9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А к вопросу 9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г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Вопрос 10 к результату «Уметь настраивать базовые параметры защи»: что верно о критериях качества с точки зрения сроков?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10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10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10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10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г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5. Вопрос 11 к результату «Владеть приёмами проверки настроек защит»: что верно о исходных данных с точки зрения документации?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11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11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11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11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а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6. Вопрос 12 к результату «Владеть приёмами проверки настроек защит»: что верно о порядке действий с точки зрения надёжности?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Б к вопросу 12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В к вопросу 12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Г к вопросу 12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А к вопросу 12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в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Межсетевые экраны и сегментация сети» (тема 2.1)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«Межсетевые экраны и сегментация сети».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«Межсетевые экраны и сегментация сети»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баллов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Защищённые протоколы и удалённый доступ» (тема 2.2)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«Защищённые протоколы и удалённый доступ».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«Защищённые протоколы и удалённый доступ»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баллов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Обнаружение вторжений» (тема 2.3)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«Обнаружение вторжений».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«Обнаружение вторжений»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баллов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3. Защита операционных систем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практическая работа.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Тест (2 вопр.). Тест считается пройденным при 70 % верных ответов.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Вопрос 13 к результату «Уметь настраивать базовые параметры защи»: что верно о типичной ошибке с точки зрения удобства?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А к вопросу 13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Б к вопросу 13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В к вопросу 13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Г к вопросу 13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а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Вопрос 14 к результату «Владеть приёмами проверки настроек защит»: что верно о проверке результата с точки зрения стоимости?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А к вопросу 14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Б к вопросу 14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В к вопросу 14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Г к вопросу 14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б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Безопасная настройка Linux» (тема 3.1)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«Безопасная настройка Linux».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«Безопасная настройка Linux»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баллов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Безопасная настройка Windows» (тема 3.2)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«Безопасная настройка Windows».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«Безопасная настройка Windows»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баллов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Учётные записи и разграничение доступа» (тема 3.3)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«Учётные записи и разграничение доступа».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«Учётные записи и разграничение доступа»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баллов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4. Мониторинг событий и инциденты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практическая работа.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Тест (6 вопр.). Тест считается пройденным при 70 % верных ответов.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Вопрос 15 к результату «Знать типовые инциденты безопасности и п»: что верно о назначении инструмента с точки зрения практики?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15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15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15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15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г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Вопрос 16 к результату «Знать типовые инциденты безопасности и п»: что верно о ограничениях метода с точки зрения безопасности?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16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16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16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16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б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Вопрос 17 к результату «Уметь находить признаки атаки в журналах»: что верно о выборе решения с точки зрения сроков?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17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17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17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17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б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Вопрос 18 к результату «Уметь находить признаки атаки в журналах»: что верно о оформлении вывода с точки зрения документации?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Б к вопросу 18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В к вопросу 18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Г к вопросу 18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А к вопросу 18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а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5. Вопрос 19 к результату «Владеть навыком разбора простого инциден»: что верно о настройке параметров с точки зрения надёжности?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19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19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19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19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а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6. Вопрос 20 к результату «Владеть навыком разбора простого инциден»: что верно о критериях качества с точки зрения удобства?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Б к вопросу 20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В к вопросу 20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Г к вопросу 20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А к вопросу 20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в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Журналы событий и их анализ» (тема 4.1)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«Журналы событий и их анализ».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«Журналы событий и их анализ»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баллов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Системы мониторинга событий безопасности» (тема 4.2)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«Системы мониторинга событий безопасности».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«Системы мониторинга событий безопасности»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баллов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Реагирование на инциденты» (тема 4.3)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«Реагирование на инциденты».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«Реагирование на инциденты»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баллов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5. Практикум на учебном стенде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лабораторная работа.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Тест (4 вопр.). Тест считается пройденным при 70 % верных ответов.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Вопрос 22 к результату «Уметь оценивать угрозы для простой инфор»: что верно о порядке действий с точки зрения практики?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22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22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22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22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в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Вопрос 23 к результату «Владеть навыком разбора простого инциден»: что верно о типичной ошибке с точки зрения безопасности?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23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23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23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23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г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Вопрос 24 к результату «Владеть навыком оформления результатов п»: что верно о проверке результата с точки зрения сроков?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24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24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24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24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а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Вопрос 1 к результату «результат обучения»: что верно о исходных данных с точки зрения практики?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1 ()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1 ()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1 ()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1 ()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в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Поиск уязвимостей на стенде» (тема 5.1)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«Поиск уязвимостей на стенде».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«Поиск уязвимостей на стенде»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баллов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Разбор инцидента на стенде» (тема 5.2)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«Разбор инцидента на стенде».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«Разбор инцидента на стенде»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баллов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pStyle w:val="1"/>
        <w:keepNext/>
        <w:pageBreakBefore/>
        <w:ind w:firstLine="0"/>
        <w:jc w:val="right"/>
      </w:pPr>
      <w:r>
        <w:rPr>
          <w:rFonts w:ascii="Times New Roman" w:hAnsi="Times New Roman" w:eastAsia="Times New Roman" w:cs="Times New Roman"/>
        </w:rPr>
        <w:t>Приложение 2</w:t>
      </w:r>
    </w:p>
    <w:p>
      <w:pPr>
        <w:keepNext/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Оценочные материалы итоговой аттестации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Форма итоговой аттестации: </w:t>
      </w:r>
      <w:r>
        <w:rPr>
          <w:rFonts w:ascii="Times New Roman" w:hAnsi="Times New Roman" w:eastAsia="Times New Roman" w:cs="Times New Roman"/>
          <w:b w:val="0"/>
        </w:rPr>
        <w:t>экзамен с практическим заданием, 2 часа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Экзамен с практическим заданием на стенде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Требования к итоговой работе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Работа выполняется самостоятельно по темам программы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Материал работы относится к сфере: рабочей практики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оформляется по шаблону и сдаётся до начала аттестации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Пример задания: Практическое задание экзамена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Среда и исходные данные: </w:t>
      </w:r>
      <w:r>
        <w:rPr>
          <w:rFonts w:ascii="Times New Roman" w:hAnsi="Times New Roman" w:eastAsia="Times New Roman" w:cs="Times New Roman"/>
          <w:b w:val="0"/>
        </w:rPr>
        <w:t>Учебный стенд с установленной программой и заранее подготовленными исходными данными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типовую рабочую операцию из сферы «рабочей практики» и проверить результат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краткое пояснение к нему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Детализированные критерии оценки</w:t>
      </w:r>
    </w:p>
    <w:tbl>
      <w:tblPr>
        <w:tblLook w:firstColumn="1" w:firstRow="1" w:lastColumn="0" w:lastRow="0" w:noHBand="0" w:noVBand="1" w:val="04A0"/>
        <w:tblW w:w="9679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479"/>
        <w:gridCol w:w="2200"/>
      </w:tblGrid>
      <w:tr>
        <w:trPr>
          <w:tblHeader/>
        </w:trPr>
        <w:tc>
          <w:tcPr>
            <w:tcW w:type="dxa" w:w="7479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Критерий</w:t>
            </w:r>
          </w:p>
        </w:tc>
        <w:tc>
          <w:tcPr>
            <w:tcW w:type="dxa" w:w="22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Максимальный балл</w:t>
            </w:r>
          </w:p>
        </w:tc>
      </w:tr>
      <w:tr>
        <w:tc>
          <w:tcPr>
            <w:tcW w:type="dxa" w:w="747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Работа выполнена полностью и соответствует заданию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</w:tr>
      <w:tr>
        <w:tc>
          <w:tcPr>
            <w:tcW w:type="dxa" w:w="747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Решение обосновано и опирается на материал программы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</w:tr>
      <w:tr>
        <w:tc>
          <w:tcPr>
            <w:tcW w:type="dxa" w:w="747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Слушатель уверенно отвечает на вопросы по своей работе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</w:tr>
      <w:tr>
        <w:tc>
          <w:tcPr>
            <w:tcW w:type="dxa" w:w="7479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10</w:t>
            </w:r>
          </w:p>
        </w:tc>
      </w:tr>
    </w:tbl>
    <w:p>
      <w:pPr>
        <w:spacing w:before="0" w:after="120"/>
        <w:ind w:firstLine="0"/>
      </w:pP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Условие «зачтено»: </w:t>
      </w:r>
      <w:r>
        <w:rPr>
          <w:rFonts w:ascii="Times New Roman" w:hAnsi="Times New Roman" w:eastAsia="Times New Roman" w:cs="Times New Roman"/>
          <w:b w:val="0"/>
        </w:rPr>
        <w:t>«Зачтено» — не меньше 6 баллов из 10 и ни по одному критерию не 0 баллов.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Процедура проведения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Слушатель заранее сдаёт работу преподавателю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Представляет результат комиссии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Отвечает на вопросы комиссии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Комиссия выставляет баллы по критериям и объявляет результат</w:t>
      </w:r>
    </w:p>
    <w:sectPr w:rsidR="00912FE8">
      <w:pgSz w:w="11906" w:h="16838"/>
      <w:pgMar w:top="1135" w:right="851" w:bottom="1418" w:left="1276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09C03C3" w14:textId="77777777" w:rsidR="00C15E4E" w:rsidRDefault="00C15E4E">
      <w:r>
        <w:separator/>
      </w:r>
    </w:p>
  </w:endnote>
  <w:endnote w:type="continuationSeparator" w:id="0">
    <w:p w14:paraId="15BB2700" w14:textId="77777777" w:rsidR="00C15E4E" w:rsidRDefault="00C15E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3A3BD68" w14:textId="77777777" w:rsidR="00C15E4E" w:rsidRDefault="00C15E4E">
      <w:r>
        <w:separator/>
      </w:r>
    </w:p>
  </w:footnote>
  <w:footnote w:type="continuationSeparator" w:id="0">
    <w:p w14:paraId="1D70246B" w14:textId="77777777" w:rsidR="00C15E4E" w:rsidRDefault="00C15E4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E664AC"/>
    <w:multiLevelType w:val="hybridMultilevel"/>
    <w:tmpl w:val="C7FA537A"/>
    <w:lvl w:ilvl="0" w:tplc="069E2D4A">
      <w:start w:val="1"/>
      <w:numFmt w:val="bullet"/>
      <w:lvlText w:val="–"/>
      <w:lvlJc w:val="left"/>
      <w:pPr>
        <w:spacing w:after="40"/>
        <w:ind w:left="360" w:hanging="240"/>
      </w:pPr>
    </w:lvl>
    <w:lvl w:ilvl="1" w:tplc="E97CD804">
      <w:start w:val="1"/>
      <w:numFmt w:val="decimal"/>
      <w:lvlText w:val=""/>
      <w:lvlJc w:val="left"/>
    </w:lvl>
    <w:lvl w:ilvl="2" w:tplc="BBE6E0CA">
      <w:start w:val="1"/>
      <w:numFmt w:val="decimal"/>
      <w:lvlText w:val=""/>
      <w:lvlJc w:val="left"/>
    </w:lvl>
    <w:lvl w:ilvl="3" w:tplc="2CAAC91E">
      <w:start w:val="1"/>
      <w:numFmt w:val="decimal"/>
      <w:lvlText w:val=""/>
      <w:lvlJc w:val="left"/>
    </w:lvl>
    <w:lvl w:ilvl="4" w:tplc="413C2E5A">
      <w:start w:val="1"/>
      <w:numFmt w:val="decimal"/>
      <w:lvlText w:val=""/>
      <w:lvlJc w:val="left"/>
    </w:lvl>
    <w:lvl w:ilvl="5" w:tplc="9B2A39C0">
      <w:start w:val="1"/>
      <w:numFmt w:val="decimal"/>
      <w:lvlText w:val=""/>
      <w:lvlJc w:val="left"/>
    </w:lvl>
    <w:lvl w:ilvl="6" w:tplc="E0CE036A">
      <w:start w:val="1"/>
      <w:numFmt w:val="decimal"/>
      <w:lvlText w:val=""/>
      <w:lvlJc w:val="left"/>
    </w:lvl>
    <w:lvl w:ilvl="7" w:tplc="729E90F0">
      <w:start w:val="1"/>
      <w:numFmt w:val="decimal"/>
      <w:lvlText w:val=""/>
      <w:lvlJc w:val="left"/>
    </w:lvl>
    <w:lvl w:ilvl="8" w:tplc="EF2032BA">
      <w:start w:val="1"/>
      <w:numFmt w:val="decimal"/>
      <w:lvlText w:val=""/>
      <w:lvlJc w:val="left"/>
    </w:lvl>
  </w:abstractNum>
  <w:abstractNum w:abstractNumId="1">
    <w:nsid w:val="1D951714"/>
    <w:multiLevelType w:val="hybridMultilevel"/>
    <w:tmpl w:val="0DB41E44"/>
    <w:lvl w:ilvl="0" w:tplc="75DCF518">
      <w:start w:val="1"/>
      <w:numFmt w:val="bullet"/>
      <w:lvlText w:val="–"/>
      <w:lvlJc w:val="left"/>
      <w:pPr>
        <w:ind w:left="540" w:hanging="360"/>
      </w:pPr>
    </w:lvl>
    <w:lvl w:ilvl="1" w:tplc="5A609B10">
      <w:start w:val="1"/>
      <w:numFmt w:val="decimal"/>
      <w:lvlText w:val=""/>
      <w:lvlJc w:val="left"/>
    </w:lvl>
    <w:lvl w:ilvl="2" w:tplc="30B854EA">
      <w:start w:val="1"/>
      <w:numFmt w:val="decimal"/>
      <w:lvlText w:val=""/>
      <w:lvlJc w:val="left"/>
    </w:lvl>
    <w:lvl w:ilvl="3" w:tplc="E53A7526">
      <w:start w:val="1"/>
      <w:numFmt w:val="decimal"/>
      <w:lvlText w:val=""/>
      <w:lvlJc w:val="left"/>
    </w:lvl>
    <w:lvl w:ilvl="4" w:tplc="D3D6461A">
      <w:start w:val="1"/>
      <w:numFmt w:val="decimal"/>
      <w:lvlText w:val=""/>
      <w:lvlJc w:val="left"/>
    </w:lvl>
    <w:lvl w:ilvl="5" w:tplc="AC387B6A">
      <w:start w:val="1"/>
      <w:numFmt w:val="decimal"/>
      <w:lvlText w:val=""/>
      <w:lvlJc w:val="left"/>
    </w:lvl>
    <w:lvl w:ilvl="6" w:tplc="F77E513C">
      <w:start w:val="1"/>
      <w:numFmt w:val="decimal"/>
      <w:lvlText w:val=""/>
      <w:lvlJc w:val="left"/>
    </w:lvl>
    <w:lvl w:ilvl="7" w:tplc="F8BCC834">
      <w:start w:val="1"/>
      <w:numFmt w:val="decimal"/>
      <w:lvlText w:val=""/>
      <w:lvlJc w:val="left"/>
    </w:lvl>
    <w:lvl w:ilvl="8" w:tplc="F57C588E">
      <w:start w:val="1"/>
      <w:numFmt w:val="decimal"/>
      <w:lvlText w:val=""/>
      <w:lvlJc w:val="left"/>
    </w:lvl>
  </w:abstractNum>
  <w:abstractNum w:abstractNumId="2">
    <w:nsid w:val="47C51A0C"/>
    <w:multiLevelType w:val="hybridMultilevel"/>
    <w:tmpl w:val="C45446B4"/>
    <w:lvl w:ilvl="0" w:tplc="F064D31E">
      <w:start w:val="1"/>
      <w:numFmt w:val="bullet"/>
      <w:lvlText w:val="●"/>
      <w:lvlJc w:val="left"/>
      <w:pPr>
        <w:ind w:left="720" w:hanging="360"/>
      </w:pPr>
    </w:lvl>
    <w:lvl w:ilvl="1" w:tplc="BF14E546">
      <w:start w:val="1"/>
      <w:numFmt w:val="bullet"/>
      <w:lvlText w:val="○"/>
      <w:lvlJc w:val="left"/>
      <w:pPr>
        <w:ind w:left="1440" w:hanging="360"/>
      </w:pPr>
    </w:lvl>
    <w:lvl w:ilvl="2" w:tplc="490A767E">
      <w:start w:val="1"/>
      <w:numFmt w:val="bullet"/>
      <w:lvlText w:val="■"/>
      <w:lvlJc w:val="left"/>
      <w:pPr>
        <w:ind w:left="2160" w:hanging="360"/>
      </w:pPr>
    </w:lvl>
    <w:lvl w:ilvl="3" w:tplc="2312AF98">
      <w:start w:val="1"/>
      <w:numFmt w:val="bullet"/>
      <w:lvlText w:val="●"/>
      <w:lvlJc w:val="left"/>
      <w:pPr>
        <w:ind w:left="2880" w:hanging="360"/>
      </w:pPr>
    </w:lvl>
    <w:lvl w:ilvl="4" w:tplc="C98C9CFC">
      <w:start w:val="1"/>
      <w:numFmt w:val="bullet"/>
      <w:lvlText w:val="○"/>
      <w:lvlJc w:val="left"/>
      <w:pPr>
        <w:ind w:left="3600" w:hanging="360"/>
      </w:pPr>
    </w:lvl>
    <w:lvl w:ilvl="5" w:tplc="19122912">
      <w:start w:val="1"/>
      <w:numFmt w:val="bullet"/>
      <w:lvlText w:val="■"/>
      <w:lvlJc w:val="left"/>
      <w:pPr>
        <w:ind w:left="4320" w:hanging="360"/>
      </w:pPr>
    </w:lvl>
    <w:lvl w:ilvl="6" w:tplc="FFF636CE">
      <w:start w:val="1"/>
      <w:numFmt w:val="bullet"/>
      <w:lvlText w:val="●"/>
      <w:lvlJc w:val="left"/>
      <w:pPr>
        <w:ind w:left="5040" w:hanging="360"/>
      </w:pPr>
    </w:lvl>
    <w:lvl w:ilvl="7" w:tplc="C36EDAEA">
      <w:start w:val="1"/>
      <w:numFmt w:val="bullet"/>
      <w:lvlText w:val="●"/>
      <w:lvlJc w:val="left"/>
      <w:pPr>
        <w:ind w:left="5760" w:hanging="360"/>
      </w:pPr>
    </w:lvl>
    <w:lvl w:ilvl="8" w:tplc="E7FC6A2E">
      <w:start w:val="1"/>
      <w:numFmt w:val="bullet"/>
      <w:lvlText w:val="●"/>
      <w:lvlJc w:val="left"/>
      <w:pPr>
        <w:ind w:left="6480" w:hanging="360"/>
      </w:pPr>
    </w:lvl>
  </w:abstractNum>
  <w:abstractNum w:abstractNumId="3">
    <w:multiLevelType w:val="singleLevel"/>
    <w:lvl w:ilvl="0">
      <w:start w:val="1"/>
      <w:numFmt w:val="bullet"/>
      <w:lvlText w:val="–"/>
      <w:lvlJc w:val="left"/>
      <w:pPr>
        <w:ind w:left="538" w:hanging="358"/>
      </w:pPr>
      <w:rPr>
        <w:rFonts w:ascii="Times New Roman" w:hAnsi="Times New Roman" w:cs="Times New Roman"/>
      </w:rPr>
    </w:lvl>
  </w:abstractNum>
  <w:abstractNum w:abstractNumId="4">
    <w:multiLevelType w:val="singleLevel"/>
    <w:lvl w:ilvl="0">
      <w:start w:val="1"/>
      <w:numFmt w:val="bullet"/>
      <w:lvlText w:val="–"/>
      <w:lvlJc w:val="left"/>
      <w:pPr>
        <w:ind w:left="360" w:hanging="240"/>
      </w:pPr>
      <w:rPr>
        <w:rFonts w:ascii="Times New Roman" w:hAnsi="Times New Roman" w:cs="Times New Roman"/>
      </w:rPr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12FE8"/>
    <w:rsid w:val="00051CDE"/>
    <w:rsid w:val="0005636E"/>
    <w:rsid w:val="00083E24"/>
    <w:rsid w:val="002505B8"/>
    <w:rsid w:val="00255203"/>
    <w:rsid w:val="002A67EE"/>
    <w:rsid w:val="00392B30"/>
    <w:rsid w:val="003B75F2"/>
    <w:rsid w:val="00537D4A"/>
    <w:rsid w:val="00912FE8"/>
    <w:rsid w:val="009363A9"/>
    <w:rsid w:val="00A007C4"/>
    <w:rsid w:val="00AC0949"/>
    <w:rsid w:val="00AC306B"/>
    <w:rsid w:val="00B91476"/>
    <w:rsid w:val="00C15E4E"/>
    <w:rsid w:val="00E74B9A"/>
    <w:rsid w:val="00EC28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4620A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link w:val="10"/>
    <w:qFormat/>
    <w:pPr>
      <w:spacing w:before="320" w:after="160"/>
      <w:outlineLvl w:val="0"/>
    </w:pPr>
    <w:rPr>
      <w:b/>
      <w:bCs/>
      <w:sz w:val="26"/>
      <w:szCs w:val="26"/>
    </w:rPr>
  </w:style>
  <w:style w:type="paragraph" w:styleId="2">
    <w:name w:val="heading 2"/>
    <w:link w:val="20"/>
    <w:qFormat/>
    <w:pPr>
      <w:spacing w:before="240" w:after="120"/>
      <w:outlineLvl w:val="1"/>
    </w:pPr>
    <w:rPr>
      <w:b/>
      <w:bCs/>
    </w:rPr>
  </w:style>
  <w:style w:type="paragraph" w:styleId="3">
    <w:name w:val="heading 3"/>
    <w:link w:val="30"/>
    <w:qFormat/>
    <w:pPr>
      <w:outlineLvl w:val="2"/>
    </w:pPr>
    <w:rPr>
      <w:color w:val="1F4D78"/>
    </w:rPr>
  </w:style>
  <w:style w:type="paragraph" w:styleId="4">
    <w:name w:val="heading 4"/>
    <w:link w:val="40"/>
    <w:qFormat/>
    <w:pPr>
      <w:outlineLvl w:val="3"/>
    </w:pPr>
    <w:rPr>
      <w:i/>
      <w:iCs/>
      <w:color w:val="2E74B5"/>
    </w:rPr>
  </w:style>
  <w:style w:type="paragraph" w:styleId="5">
    <w:name w:val="heading 5"/>
    <w:link w:val="50"/>
    <w:qFormat/>
    <w:pPr>
      <w:outlineLvl w:val="4"/>
    </w:pPr>
    <w:rPr>
      <w:color w:val="2E74B5"/>
    </w:rPr>
  </w:style>
  <w:style w:type="paragraph" w:styleId="6">
    <w:name w:val="heading 6"/>
    <w:link w:val="60"/>
    <w:qFormat/>
    <w:pPr>
      <w:outlineLvl w:val="5"/>
    </w:pPr>
    <w:rPr>
      <w:color w:val="1F4D78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No Spacing"/>
    <w:uiPriority w:val="1"/>
    <w:qFormat/>
  </w:style>
  <w:style w:type="character" w:customStyle="1" w:styleId="a4">
    <w:name w:val="Название Знак"/>
    <w:basedOn w:val="a0"/>
    <w:link w:val="a5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basedOn w:val="a"/>
    <w:link w:val="ab"/>
    <w:uiPriority w:val="99"/>
    <w:unhideWhenUsed/>
    <w:pPr>
      <w:tabs>
        <w:tab w:val="center" w:pos="7143"/>
        <w:tab w:val="right" w:pos="14287"/>
      </w:tabs>
    </w:pPr>
  </w:style>
  <w:style w:type="character" w:customStyle="1" w:styleId="ab">
    <w:name w:val="Верхний колонтитул Знак"/>
    <w:basedOn w:val="a0"/>
    <w:link w:val="aa"/>
    <w:uiPriority w:val="99"/>
  </w:style>
  <w:style w:type="paragraph" w:styleId="ac">
    <w:name w:val="footer"/>
    <w:basedOn w:val="a"/>
    <w:link w:val="ad"/>
    <w:uiPriority w:val="99"/>
    <w:unhideWhenUsed/>
    <w:pPr>
      <w:tabs>
        <w:tab w:val="center" w:pos="7143"/>
        <w:tab w:val="right" w:pos="14287"/>
      </w:tabs>
    </w:pPr>
  </w:style>
  <w:style w:type="character" w:customStyle="1" w:styleId="ad">
    <w:name w:val="Нижний колонтитул Знак"/>
    <w:basedOn w:val="a0"/>
    <w:link w:val="ac"/>
    <w:uiPriority w:val="99"/>
  </w:style>
  <w:style w:type="paragraph" w:styleId="ae">
    <w:name w:val="caption"/>
    <w:basedOn w:val="a"/>
    <w:next w:val="a"/>
    <w:link w:val="af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f">
    <w:name w:val="Название объекта Знак"/>
    <w:basedOn w:val="a0"/>
    <w:link w:val="ae"/>
    <w:uiPriority w:val="35"/>
    <w:rPr>
      <w:b/>
      <w:bCs/>
      <w:color w:val="5B9BD5" w:themeColor="accent1"/>
      <w:sz w:val="18"/>
      <w:szCs w:val="18"/>
    </w:rPr>
  </w:style>
  <w:style w:type="table" w:styleId="af0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Liberation Sans" w:hAnsi="Liberation Sans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Liberation Sans" w:hAnsi="Liberation Sans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Liberation Sans" w:hAnsi="Liberation Sans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Liberation Sans" w:hAnsi="Liberation Sans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Liberation Sans" w:hAnsi="Liberation Sans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Liberation Sans" w:hAnsi="Liberation Sans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1">
    <w:name w:val="TOC Heading"/>
    <w:uiPriority w:val="39"/>
    <w:unhideWhenUsed/>
  </w:style>
  <w:style w:type="paragraph" w:styleId="af2">
    <w:name w:val="table of figures"/>
    <w:basedOn w:val="a"/>
    <w:next w:val="a"/>
    <w:uiPriority w:val="99"/>
    <w:unhideWhenUsed/>
  </w:style>
  <w:style w:type="paragraph" w:styleId="a5">
    <w:name w:val="Title"/>
    <w:link w:val="a4"/>
    <w:qFormat/>
    <w:rPr>
      <w:sz w:val="56"/>
      <w:szCs w:val="56"/>
    </w:rPr>
  </w:style>
  <w:style w:type="paragraph" w:customStyle="1" w:styleId="12">
    <w:name w:val="Строгий1"/>
    <w:qFormat/>
    <w:rPr>
      <w:b/>
      <w:bCs/>
    </w:rPr>
  </w:style>
  <w:style w:type="paragraph" w:styleId="af3">
    <w:name w:val="List Paragraph"/>
    <w:qFormat/>
  </w:style>
  <w:style w:type="character" w:styleId="af4">
    <w:name w:val="Hyperlink"/>
    <w:uiPriority w:val="99"/>
    <w:unhideWhenUsed/>
    <w:rPr>
      <w:color w:val="0563C1"/>
      <w:u w:val="single"/>
    </w:rPr>
  </w:style>
  <w:style w:type="character" w:styleId="af5">
    <w:name w:val="footnote reference"/>
    <w:uiPriority w:val="99"/>
    <w:semiHidden/>
    <w:unhideWhenUsed/>
    <w:rPr>
      <w:vertAlign w:val="superscript"/>
    </w:rPr>
  </w:style>
  <w:style w:type="paragraph" w:styleId="af6">
    <w:name w:val="footnote text"/>
    <w:link w:val="af7"/>
    <w:uiPriority w:val="99"/>
    <w:semiHidden/>
    <w:unhideWhenUsed/>
    <w:rPr>
      <w:sz w:val="20"/>
      <w:szCs w:val="20"/>
    </w:rPr>
  </w:style>
  <w:style w:type="character" w:customStyle="1" w:styleId="af7">
    <w:name w:val="Текст сноски Знак"/>
    <w:link w:val="af6"/>
    <w:uiPriority w:val="99"/>
    <w:semiHidden/>
    <w:unhideWhenUsed/>
    <w:rPr>
      <w:sz w:val="20"/>
      <w:szCs w:val="20"/>
    </w:rPr>
  </w:style>
  <w:style w:type="character" w:styleId="af8">
    <w:name w:val="endnote reference"/>
    <w:uiPriority w:val="99"/>
    <w:semiHidden/>
    <w:unhideWhenUsed/>
    <w:rPr>
      <w:vertAlign w:val="superscript"/>
    </w:rPr>
  </w:style>
  <w:style w:type="paragraph" w:styleId="af9">
    <w:name w:val="endnote text"/>
    <w:link w:val="afa"/>
    <w:uiPriority w:val="99"/>
    <w:semiHidden/>
    <w:unhideWhenUsed/>
    <w:rPr>
      <w:sz w:val="20"/>
      <w:szCs w:val="20"/>
    </w:rPr>
  </w:style>
  <w:style w:type="character" w:customStyle="1" w:styleId="afa">
    <w:name w:val="Текст концевой сноски Знак"/>
    <w:link w:val="af9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link w:val="10"/>
    <w:qFormat/>
    <w:pPr>
      <w:spacing w:before="320" w:after="160"/>
      <w:outlineLvl w:val="0"/>
    </w:pPr>
    <w:rPr>
      <w:b/>
      <w:bCs/>
      <w:sz w:val="26"/>
      <w:szCs w:val="26"/>
    </w:rPr>
  </w:style>
  <w:style w:type="paragraph" w:styleId="2">
    <w:name w:val="heading 2"/>
    <w:link w:val="20"/>
    <w:qFormat/>
    <w:pPr>
      <w:spacing w:before="240" w:after="120"/>
      <w:outlineLvl w:val="1"/>
    </w:pPr>
    <w:rPr>
      <w:b/>
      <w:bCs/>
    </w:rPr>
  </w:style>
  <w:style w:type="paragraph" w:styleId="3">
    <w:name w:val="heading 3"/>
    <w:link w:val="30"/>
    <w:qFormat/>
    <w:pPr>
      <w:outlineLvl w:val="2"/>
    </w:pPr>
    <w:rPr>
      <w:color w:val="1F4D78"/>
    </w:rPr>
  </w:style>
  <w:style w:type="paragraph" w:styleId="4">
    <w:name w:val="heading 4"/>
    <w:link w:val="40"/>
    <w:qFormat/>
    <w:pPr>
      <w:outlineLvl w:val="3"/>
    </w:pPr>
    <w:rPr>
      <w:i/>
      <w:iCs/>
      <w:color w:val="2E74B5"/>
    </w:rPr>
  </w:style>
  <w:style w:type="paragraph" w:styleId="5">
    <w:name w:val="heading 5"/>
    <w:link w:val="50"/>
    <w:qFormat/>
    <w:pPr>
      <w:outlineLvl w:val="4"/>
    </w:pPr>
    <w:rPr>
      <w:color w:val="2E74B5"/>
    </w:rPr>
  </w:style>
  <w:style w:type="paragraph" w:styleId="6">
    <w:name w:val="heading 6"/>
    <w:link w:val="60"/>
    <w:qFormat/>
    <w:pPr>
      <w:outlineLvl w:val="5"/>
    </w:pPr>
    <w:rPr>
      <w:color w:val="1F4D78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No Spacing"/>
    <w:uiPriority w:val="1"/>
    <w:qFormat/>
  </w:style>
  <w:style w:type="character" w:customStyle="1" w:styleId="a4">
    <w:name w:val="Название Знак"/>
    <w:basedOn w:val="a0"/>
    <w:link w:val="a5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basedOn w:val="a"/>
    <w:link w:val="ab"/>
    <w:uiPriority w:val="99"/>
    <w:unhideWhenUsed/>
    <w:pPr>
      <w:tabs>
        <w:tab w:val="center" w:pos="7143"/>
        <w:tab w:val="right" w:pos="14287"/>
      </w:tabs>
    </w:pPr>
  </w:style>
  <w:style w:type="character" w:customStyle="1" w:styleId="ab">
    <w:name w:val="Верхний колонтитул Знак"/>
    <w:basedOn w:val="a0"/>
    <w:link w:val="aa"/>
    <w:uiPriority w:val="99"/>
  </w:style>
  <w:style w:type="paragraph" w:styleId="ac">
    <w:name w:val="footer"/>
    <w:basedOn w:val="a"/>
    <w:link w:val="ad"/>
    <w:uiPriority w:val="99"/>
    <w:unhideWhenUsed/>
    <w:pPr>
      <w:tabs>
        <w:tab w:val="center" w:pos="7143"/>
        <w:tab w:val="right" w:pos="14287"/>
      </w:tabs>
    </w:pPr>
  </w:style>
  <w:style w:type="character" w:customStyle="1" w:styleId="ad">
    <w:name w:val="Нижний колонтитул Знак"/>
    <w:basedOn w:val="a0"/>
    <w:link w:val="ac"/>
    <w:uiPriority w:val="99"/>
  </w:style>
  <w:style w:type="paragraph" w:styleId="ae">
    <w:name w:val="caption"/>
    <w:basedOn w:val="a"/>
    <w:next w:val="a"/>
    <w:link w:val="af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f">
    <w:name w:val="Название объекта Знак"/>
    <w:basedOn w:val="a0"/>
    <w:link w:val="ae"/>
    <w:uiPriority w:val="35"/>
    <w:rPr>
      <w:b/>
      <w:bCs/>
      <w:color w:val="5B9BD5" w:themeColor="accent1"/>
      <w:sz w:val="18"/>
      <w:szCs w:val="18"/>
    </w:rPr>
  </w:style>
  <w:style w:type="table" w:styleId="af0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Liberation Sans" w:hAnsi="Liberation Sans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Liberation Sans" w:hAnsi="Liberation Sans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Liberation Sans" w:hAnsi="Liberation Sans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Liberation Sans" w:hAnsi="Liberation Sans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Liberation Sans" w:hAnsi="Liberation Sans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Liberation Sans" w:hAnsi="Liberation Sans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1">
    <w:name w:val="TOC Heading"/>
    <w:uiPriority w:val="39"/>
    <w:unhideWhenUsed/>
  </w:style>
  <w:style w:type="paragraph" w:styleId="af2">
    <w:name w:val="table of figures"/>
    <w:basedOn w:val="a"/>
    <w:next w:val="a"/>
    <w:uiPriority w:val="99"/>
    <w:unhideWhenUsed/>
  </w:style>
  <w:style w:type="paragraph" w:styleId="a5">
    <w:name w:val="Title"/>
    <w:link w:val="a4"/>
    <w:qFormat/>
    <w:rPr>
      <w:sz w:val="56"/>
      <w:szCs w:val="56"/>
    </w:rPr>
  </w:style>
  <w:style w:type="paragraph" w:customStyle="1" w:styleId="12">
    <w:name w:val="Строгий1"/>
    <w:qFormat/>
    <w:rPr>
      <w:b/>
      <w:bCs/>
    </w:rPr>
  </w:style>
  <w:style w:type="paragraph" w:styleId="af3">
    <w:name w:val="List Paragraph"/>
    <w:qFormat/>
  </w:style>
  <w:style w:type="character" w:styleId="af4">
    <w:name w:val="Hyperlink"/>
    <w:uiPriority w:val="99"/>
    <w:unhideWhenUsed/>
    <w:rPr>
      <w:color w:val="0563C1"/>
      <w:u w:val="single"/>
    </w:rPr>
  </w:style>
  <w:style w:type="character" w:styleId="af5">
    <w:name w:val="footnote reference"/>
    <w:uiPriority w:val="99"/>
    <w:semiHidden/>
    <w:unhideWhenUsed/>
    <w:rPr>
      <w:vertAlign w:val="superscript"/>
    </w:rPr>
  </w:style>
  <w:style w:type="paragraph" w:styleId="af6">
    <w:name w:val="footnote text"/>
    <w:link w:val="af7"/>
    <w:uiPriority w:val="99"/>
    <w:semiHidden/>
    <w:unhideWhenUsed/>
    <w:rPr>
      <w:sz w:val="20"/>
      <w:szCs w:val="20"/>
    </w:rPr>
  </w:style>
  <w:style w:type="character" w:customStyle="1" w:styleId="af7">
    <w:name w:val="Текст сноски Знак"/>
    <w:link w:val="af6"/>
    <w:uiPriority w:val="99"/>
    <w:semiHidden/>
    <w:unhideWhenUsed/>
    <w:rPr>
      <w:sz w:val="20"/>
      <w:szCs w:val="20"/>
    </w:rPr>
  </w:style>
  <w:style w:type="character" w:styleId="af8">
    <w:name w:val="endnote reference"/>
    <w:uiPriority w:val="99"/>
    <w:semiHidden/>
    <w:unhideWhenUsed/>
    <w:rPr>
      <w:vertAlign w:val="superscript"/>
    </w:rPr>
  </w:style>
  <w:style w:type="paragraph" w:styleId="af9">
    <w:name w:val="endnote text"/>
    <w:link w:val="afa"/>
    <w:uiPriority w:val="99"/>
    <w:semiHidden/>
    <w:unhideWhenUsed/>
    <w:rPr>
      <w:sz w:val="20"/>
      <w:szCs w:val="20"/>
    </w:rPr>
  </w:style>
  <w:style w:type="character" w:customStyle="1" w:styleId="afa">
    <w:name w:val="Текст концевой сноски Знак"/>
    <w:link w:val="af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1462</TotalTime>
  <Pages>1</Pages>
  <Words>4083</Words>
  <Characters>23277</Characters>
  <Application>Microsoft Office Word</Application>
  <DocSecurity>0</DocSecurity>
  <Lines>193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27306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cp:lastPrinted>2026-10-22T15:52:24Z</cp:lastPrinted>
  <dcterms:created xsi:type="dcterms:W3CDTF">2026-10-22T15:52:24Z</dcterms:created>
  <dcterms:modified xsi:type="dcterms:W3CDTF">2026-10-22T15:52:24Z</dcterms:modified>
  <dc:title>Основы кибербезопасности</dc:title>
  <dc:description/>
</cp:coreProperties>
</file>