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ind w:firstLine="0"/>
      </w:pPr>
      <w:r>
        <w:rPr>
          <w:rFonts w:ascii="Times New Roman" w:hAnsi="Times New Roman" w:eastAsia="Times New Roman" w:cs="Times New Roman"/>
        </w:rPr>
        <w:t>Отчёт автопроверки: «Основы кибербезопасности»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Итог. Комплект собран, ошибок нет; 2 предупреждения методисту и 1 замечание автопроверки — см. ниже. Пояснения к сборке — в разделе «Что пропущено и почему».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Коротко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ошибки (нужно исправить до утверждения): 0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предупреждения методисту (с вариантами решения): 2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замечания автопроверки (стоит проверить): 1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объём: заявлено 72 ч, собрано 72 ч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модель: заготовленные ответы (демонстрационный режим); режим генерации — полный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время сборки комплекта после утверждения каркаса: 1 с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Предупреждения методисту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Здесь — ситуации, где нужно решение методиста или заказчика: агент нашёл их сам по общим правилам. У каждого предупреждения — цифры и варианты решения.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1. Ожидания заказчика выше, чем может дать программа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 запросе ожидание «пойти работать в эту сферу». Программа на 72 часа даёт начальный уровень: «Уметь настраивать базовые параметры защиты сети и операционной системы»; «Уметь находить признаки атаки в журналах событий»; «Уметь оценивать угрозы для простой информационной системы». Этого хватит, чтобы продолжить обучение и выполнять простые задачи под руководством, но не чтобы сразу работать специалистом самостоятельно. Проверьте, что цель и результаты программы не обещают трудоустройства.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Цифры: Ожидание из запроса — «пойти работать в эту сферу»; Объём программы — 72 ч; Практические и лабораторные занятия — 45,5 ч (63 % объёма); Результатов обучения «уметь» и «владеть» — 6.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Сформулировать с заказчиком реалистичный результат: после программы слушатель освоит базовые умения и сможет продолжить обучение.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Если заказчику нужна новая профессия — предложить программу профессиональной переподготовки: по закону об образовании она готовит к новому виду профессиональной деятельности, а повышение квалификации развивает компетенции в рамках имеющейся квалификации.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Увеличить объём программы и долю практики на реальных задачах: сейчас практических и лабораторных занятий 45,5 ч из 72 ч.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2. Акт из задания утратил силу — в программе указан действующий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Действующий акт — Приказ Минобрнауки России от 24.03.2025 № 266 (действует с 01.09.2025). Приказ Минобрнауки России от 01.07.2013 № 499 утратил силу с 01.09.2025: ссылка на него из задания или образца в программу не переносится.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Цифры: Действующий акт — Приказ Минобрнауки России от 24.03.2025 № 266, действует с 01.09.2025; Прежний акт — Приказ Минобрнауки России от 01.07.2013 № 499 — утратил силу с 01.09.2025; Источник — https://www.consultant.ru/document/cons_doc_LAW_503832/.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Ничего менять в программе не нужно — в ней указан действующий акт.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Обновите ссылку в задании и шаблонах организации: Приказ Минобрнауки России от 24.03.2025 № 266.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Проверьте другие программы организации, где ещё указан прежний акт.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Замечания автопроверки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обучения 1.3 раскрывается в темах 3 модулей из 5 (модуль 2 «Защита компьютерных сетей», модуль 3 «Защита операционных систем», модуль 5 «Практикум на учебном стенде»): содержание модулей повторяется. Оставьте результат в одном-двух модулях, у остальных — свои результаты. Как исправить: нужно решение методиста: поправьте текст или параметры запроса и пересоберите комплект.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Часы по уровням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Заявлено 72 ч, по учебному плану 72 ч — сходится.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Из них контактная работа — 63 ч, самостоятельная работа — 7 ч, итоговая аттестация — 2 ч.</w:t>
      </w:r>
    </w:p>
    <w:tbl>
      <w:tblPr>
        <w:tblLook w:firstColumn="1" w:firstRow="1" w:lastColumn="0" w:lastRow="0" w:noHBand="0" w:noVBand="1" w:val="04A0"/>
        <w:tblW w:w="9634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819"/>
        <w:gridCol w:w="963"/>
        <w:gridCol w:w="963"/>
        <w:gridCol w:w="963"/>
        <w:gridCol w:w="963"/>
        <w:gridCol w:w="963"/>
      </w:tblGrid>
      <w:tr>
        <w:trPr>
          <w:tblHeader/>
        </w:trPr>
        <w:tc>
          <w:tcPr>
            <w:tcW w:type="dxa" w:w="481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Уровень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1. Основы информационной безопасности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1.1. Угрозы и уязвимости информационных систем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1.2. Требования к защите информации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1.3. Оценка рисков для информационной системы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2. Защита компьютерных сетей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2.1. Межсетевые экраны и сегментация сети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2.2. Защищённые протоколы и удалённый доступ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2.3. Обнаружение вторжений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3. Защита операционных систем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3.1. Безопасная настройка Linux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3.2. Безопасная настройка Windows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3.3. Учётные записи и разграничение доступа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4. Мониторинг событий и инциденты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4.1. Журналы событий и их анализ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4.2. Системы мониторинга событий безопасности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4.3. Реагирование на инциденты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5. Практикум на учебном стенде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5.1. Поиск уязвимостей на стенде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5.2. Разбор инцидента на стенде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17,5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29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16,5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</w:t>
            </w:r>
          </w:p>
        </w:tc>
      </w:tr>
    </w:tbl>
    <w:p>
      <w:pPr>
        <w:spacing w:before="0" w:after="120"/>
        <w:ind w:firstLine="0"/>
      </w:pP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Суммы строк, разделов и итогов, шаг 0,5 ч и календарь проверены: замечаний нет.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Покрытие результатов обучения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9 из 9 результатов обучения раскрыты в темах и проверяются двумя и более оценочными средствами (вопросы теста, практические задания, вопросы собеседования, итоговая аттестация).</w:t>
      </w:r>
    </w:p>
    <w:tbl>
      <w:tblPr>
        <w:tblLook w:firstColumn="1" w:firstRow="1" w:lastColumn="0" w:lastRow="0" w:noHBand="0" w:noVBand="1" w:val="04A0"/>
        <w:tblW w:w="963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448"/>
        <w:gridCol w:w="1482"/>
        <w:gridCol w:w="2224"/>
        <w:gridCol w:w="1482"/>
      </w:tblGrid>
      <w:tr>
        <w:trPr>
          <w:tblHeader/>
        </w:trPr>
        <w:tc>
          <w:tcPr>
            <w:tcW w:type="dxa" w:w="444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 обучения</w:t>
            </w:r>
          </w:p>
        </w:tc>
        <w:tc>
          <w:tcPr>
            <w:tcW w:type="dxa" w:w="148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Темы</w:t>
            </w:r>
          </w:p>
        </w:tc>
        <w:tc>
          <w:tcPr>
            <w:tcW w:type="dxa" w:w="222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Оценочные средства</w:t>
            </w:r>
          </w:p>
        </w:tc>
        <w:tc>
          <w:tcPr>
            <w:tcW w:type="dxa" w:w="148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Знать назначение межсетевых экранов, средств защиты от вредоносного кода и систем обнаруж…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2.1, 2.2, 2.3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3,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Уметь настраивать базовые параметры защиты сети и операционной системы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2.1, 2.2, 3.1, 3.2, 3.3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5,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Владеть приёмами проверки настроек защиты на учебном стенде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2.3, 3.1, 3.2, 5.1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4, задания: 4,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Знать типовые инциденты безопасности и порядок реагирования на них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4.1, 4.3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Уметь находить признаки атаки в журналах событий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4.1, 4.2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Владеть навыком разбора простого инцидента по шагам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4.3, 5.2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Знать основные требования к защите информации в организации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1.1, 1.2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 Уметь оценивать угрозы для простой информационной системы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1.1, 1.3, 5.1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3,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 Владеть навыком оформления результатов проверки защищённости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1.3, 5.2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Источники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подтверждено: 9 (каталог проверенных изданий — 9)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не подтверждено — в документе с пометкой «[не подтверждено]»: 0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отброшено при проверке: 1 (не прошли проверку ISBN, издательства или года — 1; сверх лимита неподтверждённых — 0)</w:t>
      </w:r>
    </w:p>
    <w:tbl>
      <w:tblPr>
        <w:tblLook w:firstColumn="1" w:firstRow="1" w:lastColumn="0" w:lastRow="0" w:noHBand="0" w:noVBand="1" w:val="04A0"/>
        <w:tblW w:w="963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354"/>
        <w:gridCol w:w="2141"/>
        <w:gridCol w:w="2141"/>
      </w:tblGrid>
      <w:tr>
        <w:trPr>
          <w:tblHeader/>
        </w:trPr>
        <w:tc>
          <w:tcPr>
            <w:tcW w:type="dxa" w:w="535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</w:t>
            </w:r>
          </w:p>
        </w:tc>
        <w:tc>
          <w:tcPr>
            <w:tcW w:type="dxa" w:w="21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Подтверждено</w:t>
            </w:r>
          </w:p>
        </w:tc>
        <w:tc>
          <w:tcPr>
            <w:tcW w:type="dxa" w:w="21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Без подтверждения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Дополнительная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Интернет-ресурсы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Полнота разделов шаблона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Заполнено 26 из 26 разделов шаблона. Все разделы шаблона заполнены.</w:t>
      </w:r>
    </w:p>
    <w:tbl>
      <w:tblPr>
        <w:tblLook w:firstColumn="1" w:firstRow="1" w:lastColumn="0" w:lastRow="0" w:noHBand="0" w:noVBand="1" w:val="04A0"/>
        <w:tblW w:w="9637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496"/>
        <w:gridCol w:w="2141"/>
      </w:tblGrid>
      <w:tr>
        <w:trPr>
          <w:tblHeader/>
        </w:trPr>
        <w:tc>
          <w:tcPr>
            <w:tcW w:type="dxa" w:w="749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шаблона</w:t>
            </w:r>
          </w:p>
        </w:tc>
        <w:tc>
          <w:tcPr>
            <w:tcW w:type="dxa" w:w="21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Аннотация программы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Цель реализации программы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Планируемые результаты обучения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1.4. Программа разработана на основе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1.5. Перечень профессиональных компетенций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1.6. Требования к слушателям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1.7. Форма обучения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1.8. Объём программы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1.9. Выдаваемый документ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Учебный план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Учебно-тематический план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Календарный учебный график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2.4. Рабочая программа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2.5.1. Формы аттестации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2.5.2. Оценочные материалы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2.5.3. Анализ удовлетворённости слушателей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Материально-техническое обеспечение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3.2.1. Нормативно-правовые документы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3.2.2. Основная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3.2.3. Дополнительная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3.2.4. Интернет-ресурсы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3.2.5. Программное обеспечение и информационные системы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 Организация образовательного процесса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3.4. Кадровое обеспечение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Приложение 1. Оценочные материалы текущего контроля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Приложение 2. Оценочные материалы итоговой аттестации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Совпадение с образцом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Образец к запросу не приложен — сравнивать не с чем.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Смысловая проверка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Эксперт-модель проверила то, что нельзя посчитать кодом: пройдено 8 из 8 критериев. Замечания — повод перечитать соответствующий раздел.</w:t>
      </w:r>
    </w:p>
    <w:tbl>
      <w:tblPr>
        <w:tblLook w:firstColumn="1" w:firstRow="1" w:lastColumn="0" w:lastRow="0" w:noHBand="0" w:noVBand="1" w:val="04A0"/>
        <w:tblW w:w="963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706"/>
        <w:gridCol w:w="4448"/>
        <w:gridCol w:w="1482"/>
      </w:tblGrid>
      <w:tr>
        <w:trPr>
          <w:tblHeader/>
        </w:trPr>
        <w:tc>
          <w:tcPr>
            <w:tcW w:type="dxa" w:w="370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Критерий</w:t>
            </w:r>
          </w:p>
        </w:tc>
        <w:tc>
          <w:tcPr>
            <w:tcW w:type="dxa" w:w="444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Комментарий</w:t>
            </w:r>
          </w:p>
        </w:tc>
        <w:tc>
          <w:tcPr>
            <w:tcW w:type="dxa" w:w="148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Язык и терминология соответствуют аудитории; термины поясняются; нет жаргона.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Уровень, последовательность тем и входные требования соответствуют входному уровню слушателей.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Результаты обучения реалистичны для объёма программы; нет обещаний сверх объёма.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Ситуации заданий взяты из профессиональной среды слушателей и реалистичны.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Итоговая аттестация и задания соответствуют форме из запроса; требования конкретны, критерии измеримы, пример задания выполним.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Содержание тем и лекций действительно раскрывает привязанные результаты обучения.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 устаревших инструментов, версий и практик.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Аннотация, цель и планируемые результаты по сути соответствуют своим разделам.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Что пропущено и почему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Модель предложила источник «Полное руководство по всему», который не удалось подтвердить (ISBN 978-5-4461-0000-1 не проходит проверку контрольной суммы), — он не включён.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Стоимость и время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Вызовов модели: 25, стоимость 0,00 ₽. Комплект собран за 1 с после утверждения каркаса. Шаги генерации заняли 1 с в сумме (часть шагов идёт параллельно); самый долгий — «finalize», 0 с. Режим без модели: вызовы бесплатные.</w:t>
      </w:r>
    </w:p>
    <w:tbl>
      <w:tblPr>
        <w:tblLook w:firstColumn="1" w:firstRow="1" w:lastColumn="0" w:lastRow="0" w:noHBand="0" w:noVBand="1" w:val="04A0"/>
        <w:tblW w:w="9635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42"/>
        <w:gridCol w:w="1376"/>
        <w:gridCol w:w="2065"/>
        <w:gridCol w:w="1376"/>
        <w:gridCol w:w="1376"/>
      </w:tblGrid>
      <w:tr>
        <w:trPr>
          <w:tblHeader/>
        </w:trPr>
        <w:tc>
          <w:tcPr>
            <w:tcW w:type="dxa" w:w="34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Шаг</w:t>
            </w:r>
          </w:p>
        </w:tc>
        <w:tc>
          <w:tcPr>
            <w:tcW w:type="dxa" w:w="137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Вызовов</w:t>
            </w:r>
          </w:p>
        </w:tc>
        <w:tc>
          <w:tcPr>
            <w:tcW w:type="dxa" w:w="206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Токены (вход / выход)</w:t>
            </w:r>
          </w:p>
        </w:tc>
        <w:tc>
          <w:tcPr>
            <w:tcW w:type="dxa" w:w="137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₽</w:t>
            </w:r>
          </w:p>
        </w:tc>
        <w:tc>
          <w:tcPr>
            <w:tcW w:type="dxa" w:w="137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Тексты программы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Литература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Рабочая программа модулей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Лекции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Практические задания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Тесты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Добор недостающего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Смысловая проверка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25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Проверка выгрузок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Файлы program.docx, slides.pptx, tests.gift, tests_moodle.xml, tests.csv, report.docx перечитаны после записи и сверены с комплектом: расхождений нет.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–"/>
      <w:lvlJc w:val="left"/>
      <w:pPr>
        <w:ind w:left="538" w:hanging="358"/>
      </w:pPr>
      <w:rPr>
        <w:rFonts w:ascii="Times New Roman" w:hAnsi="Times New Roman" w:cs="Times New Roman"/>
      </w:rPr>
    </w:lvl>
  </w:abstractNum>
  <w:abstractNum w:abstractNumId="10">
    <w:multiLevelType w:val="singleLevel"/>
    <w:lvl w:ilvl="0">
      <w:start w:val="1"/>
      <w:numFmt w:val="bullet"/>
      <w:lvlText w:val="–"/>
      <w:lvlJc w:val="left"/>
      <w:pPr>
        <w:ind w:left="360" w:hanging="240"/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автопроверки: «Основы кибербезопасности»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