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projektleírás-és-hatókör-opengauge"/>
    <w:p>
      <w:pPr>
        <w:pStyle w:val="Heading1"/>
      </w:pPr>
      <w:r>
        <w:t xml:space="preserve">🚗 Projektleírás és hatókör: OpenGauge</w:t>
      </w:r>
    </w:p>
    <w:p>
      <w:pPr>
        <w:pStyle w:val="FirstParagraph"/>
      </w:pPr>
      <w:r>
        <w:rPr>
          <w:bCs/>
          <w:b/>
        </w:rPr>
        <w:t xml:space="preserve">Projekt neve:</w:t>
      </w:r>
      <w:r>
        <w:t xml:space="preserve"> </w:t>
      </w:r>
      <w:r>
        <w:t xml:space="preserve">OpenGauge (moduláris járműtelemetria és kijelző OBD-II-n keresztül)</w:t>
      </w:r>
      <w:r>
        <w:br/>
      </w:r>
      <w:r>
        <w:rPr>
          <w:bCs/>
          <w:b/>
        </w:rPr>
        <w:t xml:space="preserve">Projekt típusa:</w:t>
      </w:r>
      <w:r>
        <w:t xml:space="preserve"> </w:t>
      </w:r>
      <w:r>
        <w:t xml:space="preserve">BSc-szakdolgozati projekt</w:t>
      </w:r>
      <w:r>
        <w:br/>
      </w:r>
      <w:r>
        <w:rPr>
          <w:bCs/>
          <w:b/>
        </w:rPr>
        <w:t xml:space="preserve">Állapot:</w:t>
      </w:r>
      <w:r>
        <w:t xml:space="preserve"> </w:t>
      </w:r>
      <w:r>
        <w:t xml:space="preserve">🟡 Aktív fejlesztés (a NYÁK-ok legyártva, a szoftverfejlesztés indul)</w:t>
      </w:r>
      <w:r>
        <w:br/>
      </w:r>
      <w:r>
        <w:rPr>
          <w:bCs/>
          <w:b/>
        </w:rPr>
        <w:t xml:space="preserve">Dokumentum utolsó frissítése:</w:t>
      </w:r>
      <w:r>
        <w:t xml:space="preserve"> </w:t>
      </w:r>
      <w:r>
        <w:t xml:space="preserve">2026.10.20.</w:t>
      </w:r>
    </w:p>
    <w:p>
      <w:r>
        <w:pict>
          <v:rect style="width:0;height:1.5pt" o:hralign="center" o:hrstd="t" o:hr="t"/>
        </w:pict>
      </w:r>
    </w:p>
    <w:bookmarkStart w:id="20" w:name="összefoglaló-és-háttér"/>
    <w:p>
      <w:pPr>
        <w:pStyle w:val="Heading2"/>
      </w:pPr>
      <w:r>
        <w:t xml:space="preserve">📌 1. Összefoglaló és háttér</w:t>
      </w:r>
    </w:p>
    <w:p>
      <w:pPr>
        <w:pStyle w:val="FirstParagraph"/>
      </w:pPr>
      <w:r>
        <w:t xml:space="preserve">A modern személygépjárművek a belső CAN-hálózataikon sok telemetriaadatot állítanak elő, amelyek a kötelező OBD-II (J1962) diagnosztikai csatlakozón át elérhetők. A gyári műszerfalak ugyanakkor gyakran nem mutatják a fontos valós idejű jellemzőket, például a pontos hűtővíz-hőmérsékletet vagy a fojtószelep állását. A piacon kapható megoldások jellemzően két csoportba tartoznak: terjedelmes, saját fejlesztésű műszerek, amelyek zavaros tápellátási és jelkábelezéssel terhelik a műszerfalat, vagy általános okostelefon-alkalmazások, amelyek lassú kézi Bluetooth-párosítást igényelnek, és terhelik a telefon akkumulátorát.</w:t>
      </w:r>
    </w:p>
    <w:p>
      <w:pPr>
        <w:pStyle w:val="BodyText"/>
      </w:pPr>
      <w:r>
        <w:t xml:space="preserve">Az</w:t>
      </w:r>
      <w:r>
        <w:t xml:space="preserve"> </w:t>
      </w:r>
      <w:r>
        <w:rPr>
          <w:bCs/>
          <w:b/>
        </w:rPr>
        <w:t xml:space="preserve">OpenGauge</w:t>
      </w:r>
      <w:r>
        <w:t xml:space="preserve"> </w:t>
      </w:r>
      <w:r>
        <w:t xml:space="preserve">moduláris, kétegységes telemetriai rendszer, amely az adatgyűjtést és a megjelenítést szétválasztja:</w:t>
      </w:r>
    </w:p>
    <w:p>
      <w:pPr>
        <w:numPr>
          <w:ilvl w:val="0"/>
          <w:numId w:val="1001"/>
        </w:numPr>
        <w:pStyle w:val="Compact"/>
      </w:pPr>
      <w:r>
        <w:t xml:space="preserve">🔌 Az</w:t>
      </w:r>
      <w:r>
        <w:t xml:space="preserve"> </w:t>
      </w:r>
      <w:r>
        <w:rPr>
          <w:bCs/>
          <w:b/>
        </w:rPr>
        <w:t xml:space="preserve">OBD-egység</w:t>
      </w:r>
      <w:r>
        <w:t xml:space="preserve"> </w:t>
      </w:r>
      <w:r>
        <w:t xml:space="preserve">közvetlenül a jármű OBD-II csatlakozójába dugható, a járműből kapja a tápfeszültséget, és a CAN-buszról olvassa a diagnosztikai adatokat.</w:t>
      </w:r>
    </w:p>
    <w:p>
      <w:pPr>
        <w:numPr>
          <w:ilvl w:val="0"/>
          <w:numId w:val="1001"/>
        </w:numPr>
        <w:pStyle w:val="Compact"/>
      </w:pPr>
      <w:r>
        <w:t xml:space="preserve">🖥️ A műszerfalra szerelhető</w:t>
      </w:r>
      <w:r>
        <w:t xml:space="preserve"> </w:t>
      </w:r>
      <w:r>
        <w:rPr>
          <w:bCs/>
          <w:b/>
        </w:rPr>
        <w:t xml:space="preserve">kijelzőegység</w:t>
      </w:r>
      <w:r>
        <w:t xml:space="preserve"> </w:t>
      </w:r>
      <w:r>
        <w:t xml:space="preserve">vezeték nélkül kapja az előfeldolgozott adatokat, és a vezető számára kialakított grafikus műszereket jelenít meg valós időben.</w:t>
      </w:r>
    </w:p>
    <w:p>
      <w:pPr>
        <w:pStyle w:val="FirstParagraph"/>
      </w:pPr>
      <w:r>
        <w:t xml:space="preserve">Az adatgyűjtő panel és a kijelző közötti, kis késleltetésű, kapcsolatmentes ESP-NOW rádiós összeköttetés kábelek nélküli másodlagos kijelzőt ad, amely a tervek szerint a gyújtás bekapcsolásával együtt indul.</w:t>
      </w:r>
    </w:p>
    <w:p>
      <w:r>
        <w:pict>
          <v:rect style="width:0;height:1.5pt" o:hralign="center" o:hrstd="t" o:hr="t"/>
        </w:pict>
      </w:r>
    </w:p>
    <w:bookmarkEnd w:id="20"/>
    <w:bookmarkStart w:id="23" w:name="célok-és-sikerkritériumok"/>
    <w:p>
      <w:pPr>
        <w:pStyle w:val="Heading2"/>
      </w:pPr>
      <w:r>
        <w:t xml:space="preserve">🎯 2. Célok és sikerkritériumok</w:t>
      </w:r>
    </w:p>
    <w:bookmarkStart w:id="21" w:name="mérnöki-fő-célok"/>
    <w:p>
      <w:pPr>
        <w:pStyle w:val="Heading3"/>
      </w:pPr>
      <w:r>
        <w:t xml:space="preserve">2.1 Mérnöki fő célok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[G-1]</w:t>
      </w:r>
      <w:r>
        <w:t xml:space="preserve"> </w:t>
      </w:r>
      <w:r>
        <w:t xml:space="preserve">🛠️ Két egyedi, négyrétegű nyomtatott áramköri lap tervezése és legyártatása: az OBD-egységé (buck-áramkör, CAN-illesztő, védelmek) és a kijelzőegységé (USB-C és LiPo tápellátás, töltő, tápútválasztás, 3,3 V-os LDO).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[G-2]</w:t>
      </w:r>
      <w:r>
        <w:t xml:space="preserve"> </w:t>
      </w:r>
      <w:r>
        <w:t xml:space="preserve">⚡ Beágyazott szoftver, amely az ISO 15765-4 szerinti OBD-II paraméterazonosítókat (PID) kis buszterheléssel kérdezi le és értelmezi, a CAN-sebesség (250/500 kbit/s) és az azonosítóhossz (11/29 bit) automatikus felismerésével.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[G-3]</w:t>
      </w:r>
      <w:r>
        <w:t xml:space="preserve"> </w:t>
      </w:r>
      <w:r>
        <w:t xml:space="preserve">📡 Megbízható, kis késleltetésű, kapcsolatmentes, egyenrangú (peer-to-peer) vezeték nélküli adatkapcsolat az OBD-egység és a kijelzőegység között.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[G-4]</w:t>
      </w:r>
      <w:r>
        <w:t xml:space="preserve"> </w:t>
      </w:r>
      <w:r>
        <w:t xml:space="preserve">📊 Reszponzív grafikus felület a kerek 1,85″-es, 360 × 360 pixeles kijelzőn, amely legalább 30 FPS-sel jeleníti meg a műszerek animációit, a kommunikációs feladatok blokkolása nélkül.</w:t>
      </w:r>
    </w:p>
    <w:bookmarkEnd w:id="21"/>
    <w:bookmarkStart w:id="22" w:name="sikermutatók"/>
    <w:p>
      <w:pPr>
        <w:pStyle w:val="Heading3"/>
      </w:pPr>
      <w:r>
        <w:t xml:space="preserve">2.2 Sikermutatók</w:t>
      </w:r>
    </w:p>
    <w:p>
      <w:pPr>
        <w:pStyle w:val="FirstParagraph"/>
      </w:pPr>
      <w:r>
        <w:t xml:space="preserve">A felsorolt értékek</w:t>
      </w:r>
      <w:r>
        <w:t xml:space="preserve"> </w:t>
      </w:r>
      <w:r>
        <w:rPr>
          <w:bCs/>
          <w:b/>
        </w:rPr>
        <w:t xml:space="preserve">célértékek</w:t>
      </w:r>
      <w:r>
        <w:t xml:space="preserve">, a mérésük a szakdolgozat 5. fejezetében történik.</w:t>
      </w:r>
    </w:p>
    <w:p>
      <w:pPr>
        <w:numPr>
          <w:ilvl w:val="0"/>
          <w:numId w:val="1003"/>
        </w:numPr>
        <w:pStyle w:val="Compact"/>
      </w:pPr>
      <w:r>
        <w:t xml:space="preserve">🔋</w:t>
      </w:r>
      <w:r>
        <w:t xml:space="preserve"> </w:t>
      </w:r>
      <w:r>
        <w:rPr>
          <w:bCs/>
          <w:b/>
        </w:rPr>
        <w:t xml:space="preserve">Tápellátás stabilitása:</w:t>
      </w:r>
      <w:r>
        <w:t xml:space="preserve"> </w:t>
      </w:r>
      <w:r>
        <w:t xml:space="preserve">az OBD-egység buck-áramköre 9,0 V és 16,0 V közötti bemeneti feszültségen megbízhatóan működik, túlmelegedés vagy lekapcsolás nélkül.</w:t>
      </w:r>
    </w:p>
    <w:p>
      <w:pPr>
        <w:numPr>
          <w:ilvl w:val="0"/>
          <w:numId w:val="1003"/>
        </w:numPr>
        <w:pStyle w:val="Compact"/>
      </w:pPr>
      <w:r>
        <w:t xml:space="preserve">🛡️</w:t>
      </w:r>
      <w:r>
        <w:t xml:space="preserve"> </w:t>
      </w:r>
      <w:r>
        <w:rPr>
          <w:bCs/>
          <w:b/>
        </w:rPr>
        <w:t xml:space="preserve">Buszintegritás:</w:t>
      </w:r>
      <w:r>
        <w:t xml:space="preserve"> </w:t>
      </w:r>
      <w:r>
        <w:t xml:space="preserve">a lekérdezési ciklus nem okoz hibakeretet a jármű nagy sebességű CAN-hálózatán.</w:t>
      </w:r>
    </w:p>
    <w:p>
      <w:pPr>
        <w:numPr>
          <w:ilvl w:val="0"/>
          <w:numId w:val="1003"/>
        </w:numPr>
        <w:pStyle w:val="Compact"/>
      </w:pPr>
      <w:r>
        <w:t xml:space="preserve">⏱️</w:t>
      </w:r>
      <w:r>
        <w:t xml:space="preserve"> </w:t>
      </w:r>
      <w:r>
        <w:rPr>
          <w:bCs/>
          <w:b/>
        </w:rPr>
        <w:t xml:space="preserve">Frissítési sebesség:</w:t>
      </w:r>
      <w:r>
        <w:t xml:space="preserve"> </w:t>
      </w:r>
      <w:r>
        <w:t xml:space="preserve">a fordulatszám legalább 10 Hz-cel, a sebesség legalább 5 Hz-cel frissül a kijelzőn (a PID-terv szerint), a késleltetés legfeljebb 100 ms.</w:t>
      </w:r>
    </w:p>
    <w:p>
      <w:pPr>
        <w:numPr>
          <w:ilvl w:val="0"/>
          <w:numId w:val="1003"/>
        </w:numPr>
        <w:pStyle w:val="Compact"/>
      </w:pPr>
      <w:r>
        <w:t xml:space="preserve">🚀</w:t>
      </w:r>
      <w:r>
        <w:t xml:space="preserve"> </w:t>
      </w:r>
      <w:r>
        <w:rPr>
          <w:bCs/>
          <w:b/>
        </w:rPr>
        <w:t xml:space="preserve">Indulási idő:</w:t>
      </w:r>
      <w:r>
        <w:t xml:space="preserve"> </w:t>
      </w:r>
      <w:r>
        <w:t xml:space="preserve">a gyújtás bekapcsolásától az első érvényes adat megjelenéséig legfeljebb</w:t>
      </w:r>
      <w:r>
        <w:t xml:space="preserve"> </w:t>
      </w:r>
      <w:r>
        <w:rPr>
          <w:bCs/>
          <w:b/>
        </w:rPr>
        <w:t xml:space="preserve">3 másodperc</w:t>
      </w:r>
      <w:r>
        <w:t xml:space="preserve">. Ez becsült érték, nem mért adat; az M7 mérföldkőnél (valós járműmérés) kerül ellenőrzésre. Az akkumulátoros alvó üzemmódból való ébredés ideje külön mérendő.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6" w:name="hatókör-és-határok"/>
    <w:p>
      <w:pPr>
        <w:pStyle w:val="Heading2"/>
      </w:pPr>
      <w:r>
        <w:t xml:space="preserve">🔍 3. Hatókör és határok</w:t>
      </w:r>
    </w:p>
    <w:bookmarkStart w:id="24" w:name="a-hatókörben-lévő-vállalt-eredmények"/>
    <w:p>
      <w:pPr>
        <w:pStyle w:val="Heading3"/>
      </w:pPr>
      <w:r>
        <w:t xml:space="preserve">3.1 A hatókörben lévő (vállalt) eredmények</w:t>
      </w:r>
    </w:p>
    <w:p>
      <w:pPr>
        <w:numPr>
          <w:ilvl w:val="0"/>
          <w:numId w:val="1004"/>
        </w:numPr>
        <w:pStyle w:val="Compact"/>
      </w:pPr>
      <w:r>
        <w:t xml:space="preserve">📐</w:t>
      </w:r>
      <w:r>
        <w:t xml:space="preserve"> </w:t>
      </w:r>
      <w:r>
        <w:rPr>
          <w:bCs/>
          <w:b/>
        </w:rPr>
        <w:t xml:space="preserve">Egyedi hardver:</w:t>
      </w:r>
      <w:r>
        <w:t xml:space="preserve"> </w:t>
      </w:r>
      <w:r>
        <w:t xml:space="preserve">mindkét egység kapcsolási rajzának és NYÁK-jának tervezése, alkatrészválasztás, gyártatás, beültetés (JLCPCB), üzembe helyezés és mérés.</w:t>
      </w:r>
    </w:p>
    <w:p>
      <w:pPr>
        <w:numPr>
          <w:ilvl w:val="0"/>
          <w:numId w:val="1004"/>
        </w:numPr>
        <w:pStyle w:val="Compact"/>
      </w:pPr>
      <w:r>
        <w:t xml:space="preserve">🔌</w:t>
      </w:r>
      <w:r>
        <w:t xml:space="preserve"> </w:t>
      </w:r>
      <w:r>
        <w:rPr>
          <w:bCs/>
          <w:b/>
        </w:rPr>
        <w:t xml:space="preserve">Tápáramkörök:</w:t>
      </w:r>
      <w:r>
        <w:t xml:space="preserve"> </w:t>
      </w:r>
      <w:r>
        <w:t xml:space="preserve">az OBD-egységen lépcsős (buck) feszültségszabályozás fordított polaritás elleni védelemmel, bemeneti szűréssel és tranziensvédelemmel (TVS); a kijelzőegységen töltő, tápútválasztás és LDO.</w:t>
      </w:r>
    </w:p>
    <w:p>
      <w:pPr>
        <w:numPr>
          <w:ilvl w:val="0"/>
          <w:numId w:val="1004"/>
        </w:numPr>
        <w:pStyle w:val="Compact"/>
      </w:pPr>
      <w:r>
        <w:t xml:space="preserve">💻</w:t>
      </w:r>
      <w:r>
        <w:t xml:space="preserve"> </w:t>
      </w:r>
      <w:r>
        <w:rPr>
          <w:bCs/>
          <w:b/>
        </w:rPr>
        <w:t xml:space="preserve">Szoftver, OBD-egység:</w:t>
      </w:r>
      <w:r>
        <w:t xml:space="preserve"> </w:t>
      </w:r>
      <w:r>
        <w:t xml:space="preserve">a CAN/TWAI periféria inicializálása, az OBD-II PID-kérések ciklikus ütemezése (Mode 01), ISO-TP kezelés, az üzenetek értelmezése és az ESP-NOW-adás.</w:t>
      </w:r>
    </w:p>
    <w:p>
      <w:pPr>
        <w:numPr>
          <w:ilvl w:val="0"/>
          <w:numId w:val="1004"/>
        </w:numPr>
        <w:pStyle w:val="Compact"/>
      </w:pPr>
      <w:r>
        <w:t xml:space="preserve">🎨</w:t>
      </w:r>
      <w:r>
        <w:t xml:space="preserve"> </w:t>
      </w:r>
      <w:r>
        <w:rPr>
          <w:bCs/>
          <w:b/>
        </w:rPr>
        <w:t xml:space="preserve">Szoftver, kijelzőegység:</w:t>
      </w:r>
      <w:r>
        <w:t xml:space="preserve"> </w:t>
      </w:r>
      <w:r>
        <w:t xml:space="preserve">az ESP-NOW-csomagok fogadása, érvényesítés, és az LVGL grafikus könyvtárral készült felület QSPI-n meghajtott kijelzőn.</w:t>
      </w:r>
    </w:p>
    <w:p>
      <w:pPr>
        <w:numPr>
          <w:ilvl w:val="0"/>
          <w:numId w:val="1004"/>
        </w:numPr>
        <w:pStyle w:val="Compact"/>
      </w:pPr>
      <w:r>
        <w:t xml:space="preserve">🖨️</w:t>
      </w:r>
      <w:r>
        <w:t xml:space="preserve"> </w:t>
      </w:r>
      <w:r>
        <w:rPr>
          <w:bCs/>
          <w:b/>
        </w:rPr>
        <w:t xml:space="preserve">Mechanikai terv:</w:t>
      </w:r>
      <w:r>
        <w:t xml:space="preserve"> </w:t>
      </w:r>
      <w:r>
        <w:t xml:space="preserve">3D nyomtatható házak mindkét egységhez (OBD-csatlakozó-burkolat, műszerfal- vagy szellőzőrács-tartó).</w:t>
      </w:r>
    </w:p>
    <w:bookmarkEnd w:id="24"/>
    <w:bookmarkStart w:id="25" w:name="a-hatókörön-kívül-kifejezetten-kizárt"/>
    <w:p>
      <w:pPr>
        <w:pStyle w:val="Heading3"/>
      </w:pPr>
      <w:r>
        <w:t xml:space="preserve">3.2 A hatókörön kívül (kifejezetten kizárt)</w:t>
      </w:r>
    </w:p>
    <w:p>
      <w:pPr>
        <w:numPr>
          <w:ilvl w:val="0"/>
          <w:numId w:val="1005"/>
        </w:numPr>
        <w:pStyle w:val="Compact"/>
      </w:pPr>
      <w:r>
        <w:t xml:space="preserve">❌</w:t>
      </w:r>
      <w:r>
        <w:t xml:space="preserve"> </w:t>
      </w:r>
      <w:r>
        <w:rPr>
          <w:bCs/>
          <w:b/>
        </w:rPr>
        <w:t xml:space="preserve">Hibakódok (DTC) törlése és bármilyen író szolgáltatás:</w:t>
      </w:r>
      <w:r>
        <w:t xml:space="preserve"> </w:t>
      </w:r>
      <w:r>
        <w:t xml:space="preserve">az eszköz kizárólag olvasó marad. A hibakódok törlése a készenléti monitorokat is nullázná, és ha az eszköz hibát tudna törölni, a jármű működésébe is beavatkozhatna. A hibakódok</w:t>
      </w:r>
      <w:r>
        <w:t xml:space="preserve"> </w:t>
      </w:r>
      <w:r>
        <w:rPr>
          <w:iCs/>
          <w:i/>
        </w:rPr>
        <w:t xml:space="preserve">olvasása</w:t>
      </w:r>
      <w:r>
        <w:t xml:space="preserve"> </w:t>
      </w:r>
      <w:r>
        <w:t xml:space="preserve">a tervek szerint megvalósítható.</w:t>
      </w:r>
    </w:p>
    <w:p>
      <w:pPr>
        <w:numPr>
          <w:ilvl w:val="0"/>
          <w:numId w:val="1005"/>
        </w:numPr>
        <w:pStyle w:val="Compact"/>
      </w:pPr>
      <w:r>
        <w:t xml:space="preserve">❌</w:t>
      </w:r>
      <w:r>
        <w:t xml:space="preserve"> </w:t>
      </w:r>
      <w:r>
        <w:rPr>
          <w:bCs/>
          <w:b/>
        </w:rPr>
        <w:t xml:space="preserve">Gyártóspecifikus CAN-visszafejtés:</w:t>
      </w:r>
      <w:r>
        <w:t xml:space="preserve"> </w:t>
      </w:r>
      <w:r>
        <w:t xml:space="preserve">a nem szabványos, gyártói PID-ek (például saját BMW-, VAG- vagy Ford-buszcsomagok) kizártak; a hatókör a törvényben előírt OBD-II PID-ekre korlátozódik.</w:t>
      </w:r>
    </w:p>
    <w:p>
      <w:pPr>
        <w:numPr>
          <w:ilvl w:val="0"/>
          <w:numId w:val="1005"/>
        </w:numPr>
        <w:pStyle w:val="Compact"/>
      </w:pPr>
      <w:r>
        <w:t xml:space="preserve">❌</w:t>
      </w:r>
      <w:r>
        <w:t xml:space="preserve"> </w:t>
      </w:r>
      <w:r>
        <w:rPr>
          <w:bCs/>
          <w:b/>
        </w:rPr>
        <w:t xml:space="preserve">Teljes felbontású videó vagy képernyőtükrözés:</w:t>
      </w:r>
      <w:r>
        <w:t xml:space="preserve"> </w:t>
      </w:r>
      <w:r>
        <w:t xml:space="preserve">nincs Android Auto vagy Apple CarPlay képtükrözés. A kijelző vektoros felület megjelenítésére készült, nem videódekódolásra.</w:t>
      </w:r>
    </w:p>
    <w:p>
      <w:pPr>
        <w:numPr>
          <w:ilvl w:val="0"/>
          <w:numId w:val="1005"/>
        </w:numPr>
        <w:pStyle w:val="Compact"/>
      </w:pPr>
      <w:r>
        <w:t xml:space="preserve">❌</w:t>
      </w:r>
      <w:r>
        <w:t xml:space="preserve"> </w:t>
      </w:r>
      <w:r>
        <w:rPr>
          <w:bCs/>
          <w:b/>
        </w:rPr>
        <w:t xml:space="preserve">Beavatkozás a jármű működésébe:</w:t>
      </w:r>
      <w:r>
        <w:t xml:space="preserve"> </w:t>
      </w:r>
      <w:r>
        <w:t xml:space="preserve">a rendszer soha nem küld beavatkozó (gáz, kormány, fék vagy karosszéria-vezérlő) kereteket.</w:t>
      </w:r>
    </w:p>
    <w:p>
      <w:pPr>
        <w:numPr>
          <w:ilvl w:val="0"/>
          <w:numId w:val="1005"/>
        </w:numPr>
        <w:pStyle w:val="Compact"/>
      </w:pPr>
      <w:r>
        <w:t xml:space="preserve">❌</w:t>
      </w:r>
      <w:r>
        <w:t xml:space="preserve"> </w:t>
      </w:r>
      <w:r>
        <w:rPr>
          <w:bCs/>
          <w:b/>
        </w:rPr>
        <w:t xml:space="preserve">Tanúsítás:</w:t>
      </w:r>
      <w:r>
        <w:t xml:space="preserve"> </w:t>
      </w:r>
      <w:r>
        <w:t xml:space="preserve">az EMC-, jóváhagyási és típusbizonyítási eljárások nincsenek a projekt hatókörében.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8" w:name="funkciók-szintezése-és-az-mvp-korlátai"/>
    <w:p>
      <w:pPr>
        <w:pStyle w:val="Heading2"/>
      </w:pPr>
      <w:r>
        <w:t xml:space="preserve">🚦 4. Funkciók szintezése és az MVP korlátai</w:t>
      </w:r>
    </w:p>
    <w:p>
      <w:pPr>
        <w:pStyle w:val="FirstParagraph"/>
      </w:pPr>
      <w:r>
        <w:t xml:space="preserve">A szintek a fejlesztési naplóban a P1–P3 prioritásoknak felelnek meg.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P1: minimálisan életképes termék (MVP)         │</w:t>
      </w:r>
      <w:r>
        <w:br/>
      </w:r>
      <w:r>
        <w:rPr>
          <w:rStyle w:val="VerbatimChar"/>
        </w:rPr>
        <w:t xml:space="preserve">│  • Két egyedi NYÁK (OBD-egység, kijelzőegység)            │</w:t>
      </w:r>
      <w:r>
        <w:br/>
      </w:r>
      <w:r>
        <w:rPr>
          <w:rStyle w:val="VerbatimChar"/>
        </w:rPr>
        <w:t xml:space="preserve">│  • CAN-lekérdezés: fordulatszám, sebesség, hűtővíz        │</w:t>
      </w:r>
      <w:r>
        <w:br/>
      </w:r>
      <w:r>
        <w:rPr>
          <w:rStyle w:val="VerbatimChar"/>
        </w:rPr>
        <w:t xml:space="preserve">│  • Egyenrangú vezeték nélküli telemetria (ESP-NOW)        │</w:t>
      </w:r>
      <w:r>
        <w:br/>
      </w:r>
      <w:r>
        <w:rPr>
          <w:rStyle w:val="VerbatimChar"/>
        </w:rPr>
        <w:t xml:space="preserve">│  • Alap digitális műszer és számkijelzés a képernyőn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└─────────────────────────────┬─────────────────────────────┘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│ (ha az ütemterv engedi)</w:t>
      </w:r>
      <w:r>
        <w:br/>
      </w:r>
      <w:r>
        <w:rPr>
          <w:rStyle w:val="VerbatimChar"/>
        </w:rPr>
        <w:t xml:space="preserve"> 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P2: mérnöki kidolgozás                    │</w:t>
      </w:r>
      <w:r>
        <w:br/>
      </w:r>
      <w:r>
        <w:rPr>
          <w:rStyle w:val="VerbatimChar"/>
        </w:rPr>
        <w:t xml:space="preserve">│  • Alacsony fogyasztású alvó üzemmód motor leállításakor  │</w:t>
      </w:r>
      <w:r>
        <w:br/>
      </w:r>
      <w:r>
        <w:rPr>
          <w:rStyle w:val="VerbatimChar"/>
        </w:rPr>
        <w:t xml:space="preserve">│  • Érintés, másodlagos nézet, akkumulátor-töltöttség      │</w:t>
      </w:r>
      <w:r>
        <w:br/>
      </w:r>
      <w:r>
        <w:rPr>
          <w:rStyle w:val="VerbatimChar"/>
        </w:rPr>
        <w:t xml:space="preserve">│  • VIN-lekérdezés, ECU-szimulátor a teszteléshez          │</w:t>
      </w:r>
      <w:r>
        <w:br/>
      </w:r>
      <w:r>
        <w:rPr>
          <w:rStyle w:val="VerbatimChar"/>
        </w:rPr>
        <w:t xml:space="preserve">│  • Házak 3D nyomtatása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└─────────────────────────────┬─────────────────────────────┘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│ (szigorúan opcionális)</w:t>
      </w:r>
      <w:r>
        <w:br/>
      </w:r>
      <w:r>
        <w:rPr>
          <w:rStyle w:val="VerbatimChar"/>
        </w:rPr>
        <w:t xml:space="preserve"> 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P3: kiterjesztett célok                   │</w:t>
      </w:r>
      <w:r>
        <w:br/>
      </w:r>
      <w:r>
        <w:rPr>
          <w:rStyle w:val="VerbatimChar"/>
        </w:rPr>
        <w:t xml:space="preserve">│  • BLE médiavezérlés: iOS (Apple Media Service),          │</w:t>
      </w:r>
      <w:r>
        <w:br/>
      </w:r>
      <w:r>
        <w:rPr>
          <w:rStyle w:val="VerbatimChar"/>
        </w:rPr>
        <w:t xml:space="preserve">│    Android (HID); műsorszám és előadó kijelzése iOS-en    │</w:t>
      </w:r>
      <w:r>
        <w:br/>
      </w:r>
      <w:r>
        <w:rPr>
          <w:rStyle w:val="VerbatimChar"/>
        </w:rPr>
        <w:t xml:space="preserve">│  • Hibakódok olvasása (Mode 03), csak olvasás             │</w:t>
      </w:r>
      <w:r>
        <w:br/>
      </w:r>
      <w:r>
        <w:rPr>
          <w:rStyle w:val="VerbatimChar"/>
        </w:rPr>
        <w:t xml:space="preserve">│  • Márkafelismerés a VIN-ből, indulási animáció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└───────────────────────────────────────────────────────────┘</w:t>
      </w:r>
    </w:p>
    <w:bookmarkStart w:id="27" w:name="az-mvp-kritikus-műszaki-korlátai"/>
    <w:p>
      <w:pPr>
        <w:pStyle w:val="Heading3"/>
      </w:pPr>
      <w:r>
        <w:t xml:space="preserve">Az MVP kritikus műszaki korlátai</w:t>
      </w:r>
    </w:p>
    <w:p>
      <w:pPr>
        <w:numPr>
          <w:ilvl w:val="0"/>
          <w:numId w:val="1006"/>
        </w:numPr>
        <w:pStyle w:val="Compact"/>
      </w:pPr>
      <w:r>
        <w:t xml:space="preserve">⚡</w:t>
      </w:r>
      <w:r>
        <w:t xml:space="preserve"> </w:t>
      </w:r>
      <w:r>
        <w:rPr>
          <w:bCs/>
          <w:b/>
        </w:rPr>
        <w:t xml:space="preserve">A busz terhelhetőségének védelme:</w:t>
      </w:r>
      <w:r>
        <w:t xml:space="preserve"> </w:t>
      </w:r>
      <w:r>
        <w:t xml:space="preserve">az OBD-egység a busz végpontján kívül csatlakozik, ezért járműben a CAN-buszon nem lehet további 120 Ω-os lezárás. A gyártott kártyán</w:t>
      </w:r>
      <w:r>
        <w:t xml:space="preserve"> </w:t>
      </w:r>
      <w:r>
        <w:rPr>
          <w:bCs/>
          <w:b/>
        </w:rPr>
        <w:t xml:space="preserve">nincs</w:t>
      </w:r>
      <w:r>
        <w:t xml:space="preserve"> </w:t>
      </w:r>
      <w:r>
        <w:t xml:space="preserve">lezáró ellenállás: a JP1 forrasztóhíd az ellenállás nélkül közvetlenül a CANH és a CANL között van, ezért</w:t>
      </w:r>
      <w:r>
        <w:t xml:space="preserve"> </w:t>
      </w:r>
      <w:r>
        <w:rPr>
          <w:bCs/>
          <w:b/>
        </w:rPr>
        <w:t xml:space="preserve">nem szabad összeforrasztani</w:t>
      </w:r>
      <w:r>
        <w:t xml:space="preserve"> </w:t>
      </w:r>
      <w:r>
        <w:t xml:space="preserve">(zárlat). Az eredetileg kapcsolható lezárásra szánt megoldás a hiányzó ellenállás-lábnyom miatt nem teljesül, ez a hibanaplóban szerepel. Asztali teszthez külső lezárást kell használni.</w:t>
      </w:r>
    </w:p>
    <w:p>
      <w:pPr>
        <w:numPr>
          <w:ilvl w:val="0"/>
          <w:numId w:val="1006"/>
        </w:numPr>
        <w:pStyle w:val="Compact"/>
      </w:pPr>
      <w:r>
        <w:t xml:space="preserve">📏</w:t>
      </w:r>
      <w:r>
        <w:t xml:space="preserve"> </w:t>
      </w:r>
      <w:r>
        <w:rPr>
          <w:bCs/>
          <w:b/>
        </w:rPr>
        <w:t xml:space="preserve">Panelméretek:</w:t>
      </w:r>
      <w:r>
        <w:t xml:space="preserve"> </w:t>
      </w:r>
      <w:r>
        <w:t xml:space="preserve">az eredeti terv az OBD-panel felületét legfeljebb 55 mm × 35 mm-ben korlátozta.</w:t>
      </w:r>
      <w:r>
        <w:t xml:space="preserve"> </w:t>
      </w:r>
      <w:r>
        <w:rPr>
          <w:bCs/>
          <w:b/>
        </w:rPr>
        <w:t xml:space="preserve">A kész panel ennél nagyobb</w:t>
      </w:r>
      <w:r>
        <w:t xml:space="preserve"> </w:t>
      </w:r>
      <w:r>
        <w:t xml:space="preserve">(a KiCad-méretezés szerint kb. 41,8 mm × 59,1 mm, a J1962 csatlakozóval együtt kb. 80,1 mm), vagyis a kezdeti korlát nem teljesül. A követelmény célja a lábtér vezérlőinek szabadon hagyása volt, ezt a járműben kell ellenőrizni. A kijelzőegység panelje kör alakú, 50 mm átmérőjű, az USB-C-fül miatt 50 mm × 56,4 mm.</w:t>
      </w:r>
    </w:p>
    <w:p>
      <w:pPr>
        <w:numPr>
          <w:ilvl w:val="0"/>
          <w:numId w:val="1006"/>
        </w:numPr>
        <w:pStyle w:val="Compact"/>
      </w:pPr>
      <w:r>
        <w:t xml:space="preserve">📦</w:t>
      </w:r>
      <w:r>
        <w:t xml:space="preserve"> </w:t>
      </w:r>
      <w:r>
        <w:rPr>
          <w:bCs/>
          <w:b/>
        </w:rPr>
        <w:t xml:space="preserve">Alkatrész-elérhetőség:</w:t>
      </w:r>
      <w:r>
        <w:t xml:space="preserve"> </w:t>
      </w:r>
      <w:r>
        <w:t xml:space="preserve">minden aktív és passzív alkatrészt a szokásos gyors szerelési szolgáltatók (JLCPCB SMT-könyvtár, LCSC) raktáron lévő termékeiből kell választani.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projekt-eredmények"/>
    <w:p>
      <w:pPr>
        <w:pStyle w:val="Heading2"/>
      </w:pPr>
      <w:r>
        <w:t xml:space="preserve">📦 5. Projekt-eredmények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Azonosító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Kategória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Leírás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Formátum / tárgy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DEL-01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📄 Dokumentáció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Teljes rendszerterv és funkcionális leírás (magyarul)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Markdown / Word a</w:t>
            </w:r>
            <w:r>
              <w:t xml:space="preserve"> </w:t>
            </w:r>
            <w:r>
              <w:rPr>
                <w:rStyle w:val="VerbatimChar"/>
              </w:rPr>
              <w:t xml:space="preserve">/docs</w:t>
            </w:r>
            <w:r>
              <w:t xml:space="preserve"> </w:t>
            </w:r>
            <w:r>
              <w:t xml:space="preserve">mappában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DEL-02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🖥️ Hardver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KiCad kapcsolási rajz, NYÁK-terv, Gerber- és fúrófájlok, mindkét egységhez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.kicad_sch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.kicad_pcb</w:t>
            </w:r>
            <w:r>
              <w:t xml:space="preserve">, zip a</w:t>
            </w:r>
            <w:r>
              <w:t xml:space="preserve"> </w:t>
            </w:r>
            <w:r>
              <w:rPr>
                <w:rStyle w:val="VerbatimChar"/>
              </w:rPr>
              <w:t xml:space="preserve">/hardware</w:t>
            </w:r>
            <w:r>
              <w:t xml:space="preserve"> </w:t>
            </w:r>
            <w:r>
              <w:t xml:space="preserve">mappában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DEL-03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📋 Hardver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Alkatrészjegyzék (BOM) LCSC-cikkszámokkal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bom.csv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DEL-04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💻 Szoftver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OBD-egység szoftvere (CAN-értelmezés és vezeték nélküli adás)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C++ forráskód a</w:t>
            </w:r>
            <w:r>
              <w:t xml:space="preserve"> </w:t>
            </w:r>
            <w:r>
              <w:rPr>
                <w:rStyle w:val="VerbatimChar"/>
              </w:rPr>
              <w:t xml:space="preserve">/firmware/obd_node</w:t>
            </w:r>
            <w:r>
              <w:t xml:space="preserve"> </w:t>
            </w:r>
            <w:r>
              <w:t xml:space="preserve">mappában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DEL-05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🎨 Szoftver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Kijelzőegység szoftvere (LVGL felület és vezeték nélküli vétel)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C++ forráskód a</w:t>
            </w:r>
            <w:r>
              <w:t xml:space="preserve"> </w:t>
            </w:r>
            <w:r>
              <w:rPr>
                <w:rStyle w:val="VerbatimChar"/>
              </w:rPr>
              <w:t xml:space="preserve">/firmware/display_node</w:t>
            </w:r>
            <w:r>
              <w:t xml:space="preserve"> </w:t>
            </w:r>
            <w:r>
              <w:t xml:space="preserve">mappában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DEL-06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🖨️ Mechanika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Házak CAD-modelljei 3D nyomtatáshoz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.step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.stl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rStyle w:val="VerbatimChar"/>
              </w:rPr>
              <w:t xml:space="preserve">/mechanical</w:t>
            </w:r>
            <w:r>
              <w:t xml:space="preserve"> </w:t>
            </w:r>
            <w:r>
              <w:t xml:space="preserve">mappában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DEL-07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🎓 Tanulmányi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Szakdolgozat és bemutató videó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Szakdolgozat (Word/PDF)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0" w:name="kockázatkezelés-és-tartalékterv"/>
    <w:p>
      <w:pPr>
        <w:pStyle w:val="Heading2"/>
      </w:pPr>
      <w:r>
        <w:t xml:space="preserve">⚠️ 6. Kockázatkezelés és tartalékterv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Azonosított kockázat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Súlyosság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Valószínűség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Kezelési stratégia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NYÁK-tervezési vagy gyártási hiba</w:t>
            </w:r>
            <w:r>
              <w:t xml:space="preserve"> </w:t>
            </w:r>
            <w:r>
              <w:t xml:space="preserve">(például hibás lábnyom, rossz alkatrész)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Magas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Magas (be is következett)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Az előfordult hibák (SN65HVD231 a tervezett SN65HVD230 helyett, JP1 ellenállás nélkül, Q1 lábnyom, kézi alkatrészcserék) a hibanaplóban szerepelnek; javítás pótalkatrészekkel és kézi módosítással, a következő verzióban a tervezési ellenőrzőlista bővítése.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Járműkompatibilitási hiba</w:t>
            </w:r>
            <w:r>
              <w:t xml:space="preserve"> </w:t>
            </w:r>
            <w:r>
              <w:t xml:space="preserve">(ECU időtúllépés, néma busz)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Magas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Alacsony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Fejlesztés asztali környezetben ECU-szimulátorral (ESP32-S2) és USB–CAN adapterrel, csak ezután valós járművön.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 kijelző képfrissítési lemaradása</w:t>
            </w:r>
            <w:r>
              <w:t xml:space="preserve"> </w:t>
            </w:r>
            <w:r>
              <w:t xml:space="preserve">(nagy képkocka, QSPI-sávszélesség)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Közepes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Közepes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teljes képkocka PSRAM-ban, LVGL részleges frissítéssel és DMA-puffereléssel; a magfoglalás szétválasztása (0. mag: rádió, 1. mag: LVGL).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 Bluetooth-telefonoldali verem bonyolultsága</w:t>
            </w:r>
            <w:r>
              <w:t xml:space="preserve"> </w:t>
            </w:r>
            <w:r>
              <w:t xml:space="preserve">(ütemezési kockázat)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Közepes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Magas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BLE-/média-funkciók szigorúan a P3 szinten; ha az ütemterv szerint le vagyunk maradva, a BLE-integráció a sikerkritériumok veszélyeztetése nélkül elhagyható.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Alkatrész- vagy szállítási késedelem</w:t>
            </w:r>
            <w:r>
              <w:t xml:space="preserve"> </w:t>
            </w:r>
            <w:r>
              <w:t xml:space="preserve">(egyes tételek 10–15 munkanap)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Közepes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Közepes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fejlesztés a kéznél lévő fejlesztői panelekkel (ESP32-S2, ESP32-S3) és a kijelzőmodullal indul, a CAN-oldali tesztek a megérkezés után.</w:t>
            </w:r>
          </w:p>
        </w:tc>
      </w:tr>
    </w:tbl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2026-10-20T10:50:05Z</dcterms:created>
  <dcterms:modified xsi:type="dcterms:W3CDTF">2026-10-20T10:50:05Z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