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color w:val="EAAE35"/>
          <w:sz w:val="52"/>
        </w:rPr>
        <w:t>✦</w:t>
      </w:r>
    </w:p>
    <w:p>
      <w:pPr>
        <w:pStyle w:val="Title"/>
        <w:jc w:val="center"/>
      </w:pPr>
      <w:r>
        <w:t>Website Audit &amp; Strategic Recommendations</w:t>
      </w:r>
    </w:p>
    <w:p>
      <w:pPr>
        <w:pStyle w:val="Subtitle"/>
        <w:jc w:val="center"/>
      </w:pPr>
      <w:r>
        <w:t>Miss Lana’s Fairy-Tale Theater · Current-state assessment for competitive work in Los Angeles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9994"/>
            <w:shd w:fill="F5EEE0"/>
            <w:tcBorders>
              <w:top w:val="single" w:sz="8" w:color="E8DEC9"/>
              <w:left w:val="single" w:sz="8" w:color="E8DEC9"/>
              <w:bottom w:val="single" w:sz="8" w:color="E8DEC9"/>
              <w:right w:val="single" w:sz="8" w:color="E8DEC9"/>
            </w:tcBorders>
          </w:tcPr>
          <w:p>
            <w:pPr>
              <w:jc w:val="center"/>
            </w:pPr>
            <w:r>
              <w:rPr>
                <w:color w:val="685F54"/>
                <w:sz w:val="20"/>
              </w:rPr>
              <w:t>Project document · Los Angeles · 25 June 2026</w:t>
            </w:r>
          </w:p>
        </w:tc>
      </w:tr>
    </w:tbl>
    <w:p>
      <w:r>
        <w:br/>
      </w:r>
    </w:p>
    <w:p>
      <w:pPr>
        <w:jc w:val="center"/>
      </w:pPr>
      <w:r>
        <w:rPr>
          <w:i/>
          <w:color w:val="685F54"/>
          <w:sz w:val="20"/>
        </w:rPr>
        <w:t>Prepared from the live-site audit and the current project canon.</w:t>
      </w:r>
    </w:p>
    <w:p>
      <w:r>
        <w:br w:type="page"/>
      </w:r>
    </w:p>
    <w:p>
      <w:pPr>
        <w:pStyle w:val="Heading1"/>
      </w:pPr>
      <w:r>
        <w:t>1. Executive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94"/>
            <w:shd w:fill="F2F7EE"/>
            <w:tcBorders>
              <w:top w:val="single" w:sz="12" w:color="41702C"/>
              <w:left w:val="single" w:sz="4" w:color="E8DEC9"/>
              <w:bottom w:val="single" w:sz="4" w:color="E8DEC9"/>
              <w:right w:val="single" w:sz="4" w:color="E8DEC9"/>
            </w:tcBorders>
          </w:tcPr>
          <w:p>
            <w:pPr>
              <w:spacing w:after="0"/>
            </w:pPr>
            <w:r>
              <w:rPr>
                <w:b/>
                <w:color w:val="41702C"/>
              </w:rPr>
              <w:t>Primary conclusion</w:t>
              <w:br/>
            </w:r>
            <w:r>
              <w:rPr>
                <w:color w:val="29481D"/>
                <w:sz w:val="22"/>
              </w:rPr>
              <w:t>The current website has a strong strategic foundation and a differentiated offer, but it is not yet a fully competitive lead-generation asset for Los Angeles. It explains the service better than it proves trust, reduces booking risk, and converts a cold visitor into a qualified inquiry.</w:t>
            </w:r>
          </w:p>
        </w:tc>
      </w:tr>
    </w:tbl>
    <w:p>
      <w:r>
        <w:rPr>
          <w:b/>
        </w:rPr>
        <w:t xml:space="preserve">Overall assessment: </w:t>
      </w:r>
      <w:r>
        <w:t>approximately 7/10 for a work-in-progress site. The concept should not be rebuilt from scratch. The next stage is conversion, trust, evidence, local SEO, and operational readiness.</w:t>
      </w:r>
    </w:p>
    <w:p>
      <w:pPr>
        <w:pStyle w:val="Heading1"/>
      </w:pPr>
      <w:r>
        <w:t>2. What is already strong</w:t>
      </w:r>
    </w:p>
    <w:p>
      <w:pPr>
        <w:pStyle w:val="ListBullet"/>
        <w:spacing w:after="40"/>
      </w:pPr>
      <w:r>
        <w:rPr>
          <w:b/>
        </w:rPr>
        <w:t xml:space="preserve">Clear positioning. </w:t>
      </w:r>
      <w:r>
        <w:t>“Live theater that comes to you” quickly communicates the product and the mobile-service model.</w:t>
      </w:r>
    </w:p>
    <w:p>
      <w:pPr>
        <w:pStyle w:val="ListBullet"/>
        <w:spacing w:after="40"/>
      </w:pPr>
      <w:r>
        <w:rPr>
          <w:b/>
        </w:rPr>
        <w:t xml:space="preserve">Real category differentiation. </w:t>
      </w:r>
      <w:r>
        <w:t>The site presents a professional theater troupe rather than a single generic entertainer.</w:t>
      </w:r>
    </w:p>
    <w:p>
      <w:pPr>
        <w:pStyle w:val="ListBullet"/>
        <w:spacing w:after="40"/>
      </w:pPr>
      <w:r>
        <w:rPr>
          <w:b/>
        </w:rPr>
        <w:t xml:space="preserve">Correct audience split. </w:t>
      </w:r>
      <w:r>
        <w:t>Schools/preschools and families have separate service paths.</w:t>
      </w:r>
    </w:p>
    <w:p>
      <w:pPr>
        <w:pStyle w:val="ListBullet"/>
        <w:spacing w:after="40"/>
      </w:pPr>
      <w:r>
        <w:rPr>
          <w:b/>
        </w:rPr>
        <w:t xml:space="preserve">Transparent starting price. </w:t>
      </w:r>
      <w:r>
        <w:t>“Starting at $350” qualifies the lead and positions the offer above low-cost entertainment.</w:t>
      </w:r>
    </w:p>
    <w:p>
      <w:pPr>
        <w:pStyle w:val="ListBullet"/>
        <w:spacing w:after="40"/>
      </w:pPr>
      <w:r>
        <w:rPr>
          <w:b/>
        </w:rPr>
        <w:t xml:space="preserve">Good brand direction. </w:t>
      </w:r>
      <w:r>
        <w:t>The warm green-and-gold “Lantern Light” system can look premium, calm, and memorable in LA.</w:t>
      </w:r>
    </w:p>
    <w:p>
      <w:pPr>
        <w:pStyle w:val="ListBullet"/>
        <w:spacing w:after="40"/>
      </w:pPr>
      <w:r>
        <w:rPr>
          <w:b/>
        </w:rPr>
        <w:t xml:space="preserve">Sound site architecture. </w:t>
      </w:r>
      <w:r>
        <w:t>The project already defines separate pages for shows, schools, birthdays, characters, pricing, gallery, about, and booking.</w:t>
      </w:r>
    </w:p>
    <w:p>
      <w:pPr>
        <w:pStyle w:val="ListBullet"/>
        <w:spacing w:after="40"/>
      </w:pPr>
      <w:r>
        <w:rPr>
          <w:b/>
        </w:rPr>
        <w:t xml:space="preserve">Strong core story. </w:t>
      </w:r>
      <w:r>
        <w:t>A four-person professional troupe, 30+ years of theater experience, kind fairy tales, and a complete mobile format are defensible reasons to believe.</w:t>
      </w:r>
    </w:p>
    <w:p>
      <w:pPr>
        <w:pStyle w:val="Heading1"/>
      </w:pPr>
      <w:r>
        <w:t>3. Central business problem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94"/>
            <w:shd w:fill="F2F7EE"/>
            <w:tcBorders>
              <w:top w:val="single" w:sz="12" w:color="41702C"/>
              <w:left w:val="single" w:sz="4" w:color="E8DEC9"/>
              <w:bottom w:val="single" w:sz="4" w:color="E8DEC9"/>
              <w:right w:val="single" w:sz="4" w:color="E8DEC9"/>
            </w:tcBorders>
          </w:tcPr>
          <w:p>
            <w:pPr>
              <w:spacing w:after="0"/>
            </w:pPr>
            <w:r>
              <w:rPr>
                <w:b/>
                <w:color w:val="41702C"/>
              </w:rPr>
              <w:t>Conversion gap</w:t>
              <w:br/>
            </w:r>
            <w:r>
              <w:rPr>
                <w:color w:val="29481D"/>
                <w:sz w:val="22"/>
              </w:rPr>
              <w:t>A visitor can understand what Miss Lana offers, but still lacks enough proof and operational clarity to confidently invite the troupe to a home, preschool, or school and spend $350–600 or more.</w:t>
            </w:r>
          </w:p>
        </w:tc>
      </w:tr>
    </w:tbl>
    <w:p>
      <w:r>
        <w:t>The site must answer the buyer’s hidden questions before the buyer asks them:</w:t>
      </w:r>
    </w:p>
    <w:p>
      <w:pPr>
        <w:pStyle w:val="ListBullet"/>
        <w:spacing w:after="40"/>
      </w:pPr>
      <w:r>
        <w:t>Are these performers reliable, safe, and professional around children?</w:t>
      </w:r>
    </w:p>
    <w:p>
      <w:pPr>
        <w:pStyle w:val="ListBullet"/>
        <w:spacing w:after="40"/>
      </w:pPr>
      <w:r>
        <w:t>What exactly arrives at the venue, and how much space or setup is required?</w:t>
      </w:r>
    </w:p>
    <w:p>
      <w:pPr>
        <w:pStyle w:val="ListBullet"/>
        <w:spacing w:after="40"/>
      </w:pPr>
      <w:r>
        <w:t>Will toddlers stay engaged, and will older children find it too young?</w:t>
      </w:r>
    </w:p>
    <w:p>
      <w:pPr>
        <w:pStyle w:val="ListBullet"/>
        <w:spacing w:after="40"/>
      </w:pPr>
      <w:r>
        <w:t>What does the performance actually look and sound like?</w:t>
      </w:r>
    </w:p>
    <w:p>
      <w:pPr>
        <w:pStyle w:val="ListBullet"/>
        <w:spacing w:after="40"/>
      </w:pPr>
      <w:r>
        <w:t>What happens after I submit a request?</w:t>
      </w:r>
    </w:p>
    <w:p>
      <w:pPr>
        <w:pStyle w:val="ListBullet"/>
        <w:spacing w:after="40"/>
      </w:pPr>
      <w:r>
        <w:t>What paperwork can a school receive?</w:t>
      </w:r>
    </w:p>
    <w:p>
      <w:pPr>
        <w:pStyle w:val="ListBullet"/>
        <w:spacing w:after="40"/>
      </w:pPr>
      <w:r>
        <w:t>How are outdoor events, cancellations, travel, parking, and weather handled?</w:t>
      </w:r>
    </w:p>
    <w:p>
      <w:pPr>
        <w:pStyle w:val="ListBullet"/>
        <w:spacing w:after="40"/>
      </w:pPr>
      <w:r>
        <w:t>Why should I choose this over a magician, character entertainer, bubble performer, or puppet show?</w:t>
      </w:r>
    </w:p>
    <w:p>
      <w:pPr>
        <w:pStyle w:val="Heading1"/>
      </w:pPr>
      <w:r>
        <w:t>4. Findings by direction</w:t>
      </w:r>
    </w:p>
    <w:p>
      <w:pPr>
        <w:pStyle w:val="Heading2"/>
      </w:pPr>
      <w:r>
        <w:t>4.1 Trust and social proof</w:t>
      </w:r>
    </w:p>
    <w:p>
      <w:r>
        <w:rPr>
          <w:b/>
          <w:color w:val="41702C"/>
        </w:rPr>
        <w:t xml:space="preserve">Finding: </w:t>
      </w:r>
      <w:r>
        <w:t>The site currently relies heavily on claims such as “professional troupe” and “30+ years,” but offers limited public proof.</w:t>
      </w:r>
    </w:p>
    <w:p>
      <w:r>
        <w:rPr>
          <w:b/>
          <w:color w:val="41702C"/>
        </w:rPr>
        <w:t xml:space="preserve">Missing: </w:t>
      </w:r>
      <w:r>
        <w:t>Real reviews, school names where permitted, recent LA evidence, stronger biographies, video, insurance/background-check information where applicable.</w:t>
      </w:r>
    </w:p>
    <w:p>
      <w:r>
        <w:rPr>
          <w:b/>
          <w:color w:val="41702C"/>
        </w:rPr>
        <w:t xml:space="preserve">Recommendation: </w:t>
      </w:r>
      <w:r>
        <w:t>Add verified testimonials, recent-event evidence, a professional-readiness block, and concrete biographies. Reserve review schema only for visible real reviews.</w:t>
      </w:r>
    </w:p>
    <w:p>
      <w:pPr>
        <w:pStyle w:val="Heading2"/>
      </w:pPr>
      <w:r>
        <w:t>4.2 Video and photographic evidence</w:t>
      </w:r>
    </w:p>
    <w:p>
      <w:r>
        <w:rPr>
          <w:b/>
          <w:color w:val="41702C"/>
        </w:rPr>
        <w:t xml:space="preserve">Finding: </w:t>
      </w:r>
      <w:r>
        <w:t>This service is visual and experiential. Static copy cannot fully communicate scale, actor count, scenery, child response, or atmosphere.</w:t>
      </w:r>
    </w:p>
    <w:p>
      <w:r>
        <w:rPr>
          <w:b/>
          <w:color w:val="41702C"/>
        </w:rPr>
        <w:t xml:space="preserve">Missing: </w:t>
      </w:r>
      <w:r>
        <w:t>A 45–75 second hero reel, reaction footage, wide shots of the full setup, school and birthday examples, consistent photography.</w:t>
      </w:r>
    </w:p>
    <w:p>
      <w:r>
        <w:rPr>
          <w:b/>
          <w:color w:val="41702C"/>
        </w:rPr>
        <w:t xml:space="preserve">Recommendation: </w:t>
      </w:r>
      <w:r>
        <w:t>Use one flagship video on Home, short vertical clips for social/GBP, and a curated media library with a unified warm grade.</w:t>
      </w:r>
    </w:p>
    <w:p>
      <w:pPr>
        <w:pStyle w:val="Heading2"/>
      </w:pPr>
      <w:r>
        <w:t>4.3 Offer clarity and logistics</w:t>
      </w:r>
    </w:p>
    <w:p>
      <w:r>
        <w:rPr>
          <w:b/>
          <w:color w:val="41702C"/>
        </w:rPr>
        <w:t xml:space="preserve">Finding: </w:t>
      </w:r>
      <w:r>
        <w:t>The site describes duration and general format, but not enough of the operational experience.</w:t>
      </w:r>
    </w:p>
    <w:p>
      <w:r>
        <w:rPr>
          <w:b/>
          <w:color w:val="41702C"/>
        </w:rPr>
        <w:t xml:space="preserve">Missing: </w:t>
      </w:r>
      <w:r>
        <w:t>Number of performers, setup time, space, electricity, indoor/outdoor rules, teardown, parking, weather, photo time, consecutive shows.</w:t>
      </w:r>
    </w:p>
    <w:p>
      <w:r>
        <w:rPr>
          <w:b/>
          <w:color w:val="41702C"/>
        </w:rPr>
        <w:t xml:space="preserve">Recommendation: </w:t>
      </w:r>
      <w:r>
        <w:t>Add “What arrives with the theater,” technical requirements, and a logistics FAQ. Publish only confirmed facts.</w:t>
      </w:r>
    </w:p>
    <w:p>
      <w:pPr>
        <w:pStyle w:val="Heading2"/>
      </w:pPr>
      <w:r>
        <w:t>4.4 Age positioning</w:t>
      </w:r>
    </w:p>
    <w:p>
      <w:r>
        <w:rPr>
          <w:b/>
          <w:color w:val="41702C"/>
        </w:rPr>
        <w:t xml:space="preserve">Finding: </w:t>
      </w:r>
      <w:r>
        <w:t>The repeated age range 2–10 is commercially broad but can feel implausible without explanation.</w:t>
      </w:r>
    </w:p>
    <w:p>
      <w:r>
        <w:rPr>
          <w:b/>
          <w:color w:val="41702C"/>
        </w:rPr>
        <w:t xml:space="preserve">Missing: </w:t>
      </w:r>
      <w:r>
        <w:t>Best-age guidance and adaptation notes for toddlers, preschoolers, mixed-age groups, and elementary audiences.</w:t>
      </w:r>
    </w:p>
    <w:p>
      <w:r>
        <w:rPr>
          <w:b/>
          <w:color w:val="41702C"/>
        </w:rPr>
        <w:t xml:space="preserve">Recommendation: </w:t>
      </w:r>
      <w:r>
        <w:t>Keep 2–10 as the supported range, but state the best age for each show and how the performance changes for different groups.</w:t>
      </w:r>
    </w:p>
    <w:p>
      <w:pPr>
        <w:pStyle w:val="Heading2"/>
      </w:pPr>
      <w:r>
        <w:t>4.5 Birthday-party value</w:t>
      </w:r>
    </w:p>
    <w:p>
      <w:r>
        <w:rPr>
          <w:b/>
          <w:color w:val="41702C"/>
        </w:rPr>
        <w:t xml:space="preserve">Finding: </w:t>
      </w:r>
      <w:r>
        <w:t>The birthday page risks reading like the same theater product with a different label.</w:t>
      </w:r>
    </w:p>
    <w:p>
      <w:r>
        <w:rPr>
          <w:b/>
          <w:color w:val="41702C"/>
        </w:rPr>
        <w:t xml:space="preserve">Missing: </w:t>
      </w:r>
      <w:r>
        <w:t>A clear role for the birthday child and specific personal moments.</w:t>
      </w:r>
    </w:p>
    <w:p>
      <w:r>
        <w:rPr>
          <w:b/>
          <w:color w:val="41702C"/>
        </w:rPr>
        <w:t xml:space="preserve">Recommendation: </w:t>
      </w:r>
      <w:r>
        <w:t>Define real personalization: named greeting, story participation, character photo, special finale, or another confirmed birthday ritual.</w:t>
      </w:r>
    </w:p>
    <w:p>
      <w:pPr>
        <w:pStyle w:val="Heading2"/>
      </w:pPr>
      <w:r>
        <w:t>4.6 School and preschool readiness</w:t>
      </w:r>
    </w:p>
    <w:p>
      <w:r>
        <w:rPr>
          <w:b/>
          <w:color w:val="41702C"/>
        </w:rPr>
        <w:t xml:space="preserve">Finding: </w:t>
      </w:r>
      <w:r>
        <w:t>The B2B direction is strategically strong but under-proven.</w:t>
      </w:r>
    </w:p>
    <w:p>
      <w:r>
        <w:rPr>
          <w:b/>
          <w:color w:val="41702C"/>
        </w:rPr>
        <w:t xml:space="preserve">Missing: </w:t>
      </w:r>
      <w:r>
        <w:t>SEL themes, learning objectives, paperwork, audience-size logic, consecutive-show options, teacher materials, institutional references.</w:t>
      </w:r>
    </w:p>
    <w:p>
      <w:r>
        <w:rPr>
          <w:b/>
          <w:color w:val="41702C"/>
        </w:rPr>
        <w:t xml:space="preserve">Recommendation: </w:t>
      </w:r>
      <w:r>
        <w:t>Build a school-ready offer, one-sheet, technical rider, teacher guide, and a dedicated lead form. Treat public-school entry as a separate business track.</w:t>
      </w:r>
    </w:p>
    <w:p>
      <w:pPr>
        <w:pStyle w:val="Heading2"/>
      </w:pPr>
      <w:r>
        <w:t>4.7 Pricing and packages</w:t>
      </w:r>
    </w:p>
    <w:p>
      <w:r>
        <w:rPr>
          <w:b/>
          <w:color w:val="41702C"/>
        </w:rPr>
        <w:t xml:space="preserve">Finding: </w:t>
      </w:r>
      <w:r>
        <w:t>The starting price is useful, but package differences are not yet strong enough.</w:t>
      </w:r>
    </w:p>
    <w:p>
      <w:r>
        <w:rPr>
          <w:b/>
          <w:color w:val="41702C"/>
        </w:rPr>
        <w:t xml:space="preserve">Missing: </w:t>
      </w:r>
      <w:r>
        <w:t>Clear Birthday, Preschool, and School Assembly packages; verified add-ons; travel-zone policy.</w:t>
      </w:r>
    </w:p>
    <w:p>
      <w:r>
        <w:rPr>
          <w:b/>
          <w:color w:val="41702C"/>
        </w:rPr>
        <w:t xml:space="preserve">Recommendation: </w:t>
      </w:r>
      <w:r>
        <w:t>Keep transparent starting prices, explain what is included, and use quote-based pricing for larger groups and travel until the owner confirms exact rules.</w:t>
      </w:r>
    </w:p>
    <w:p>
      <w:pPr>
        <w:pStyle w:val="Heading2"/>
      </w:pPr>
      <w:r>
        <w:t>4.8 Booking experience</w:t>
      </w:r>
    </w:p>
    <w:p>
      <w:r>
        <w:rPr>
          <w:b/>
          <w:color w:val="41702C"/>
        </w:rPr>
        <w:t xml:space="preserve">Finding: </w:t>
      </w:r>
      <w:r>
        <w:t>A call-first workflow creates friction. Many LA customers prefer text or email and do not answer unknown calls.</w:t>
      </w:r>
    </w:p>
    <w:p>
      <w:r>
        <w:rPr>
          <w:b/>
          <w:color w:val="41702C"/>
        </w:rPr>
        <w:t xml:space="preserve">Missing: </w:t>
      </w:r>
      <w:r>
        <w:t>Preferred contact method, required email, confirmation, response expectation, source tracking, spam protection, lead storage.</w:t>
      </w:r>
    </w:p>
    <w:p>
      <w:r>
        <w:rPr>
          <w:b/>
          <w:color w:val="41702C"/>
        </w:rPr>
        <w:t xml:space="preserve">Recommendation: </w:t>
      </w:r>
      <w:r>
        <w:t>Use one primary form with Text / Email / Phone preference, automatic confirmation, owner notification, and Google Sheet or CRM logging.</w:t>
      </w:r>
    </w:p>
    <w:p>
      <w:pPr>
        <w:pStyle w:val="Heading2"/>
      </w:pPr>
      <w:r>
        <w:t>4.9 Local SEO and discoverability</w:t>
      </w:r>
    </w:p>
    <w:p>
      <w:r>
        <w:rPr>
          <w:b/>
          <w:color w:val="41702C"/>
        </w:rPr>
        <w:t xml:space="preserve">Finding: </w:t>
      </w:r>
      <w:r>
        <w:t>The site structure is suitable for SEO, but local visibility requires a full launch layer beyond page design.</w:t>
      </w:r>
    </w:p>
    <w:p>
      <w:r>
        <w:rPr>
          <w:b/>
          <w:color w:val="41702C"/>
        </w:rPr>
        <w:t xml:space="preserve">Missing: </w:t>
      </w:r>
      <w:r>
        <w:t>Google Business Profile, unique metadata, schema, Search Console, sitemap, redirects, review acquisition, local intent pages.</w:t>
      </w:r>
    </w:p>
    <w:p>
      <w:r>
        <w:rPr>
          <w:b/>
          <w:color w:val="41702C"/>
        </w:rPr>
        <w:t xml:space="preserve">Recommendation: </w:t>
      </w:r>
      <w:r>
        <w:t>Launch GBP as a service-area business, create one indexed URL per show and service, complete migration redirects, and measure queries before expanding city pages.</w:t>
      </w:r>
    </w:p>
    <w:p>
      <w:pPr>
        <w:pStyle w:val="Heading2"/>
      </w:pPr>
      <w:r>
        <w:t>4.10 Brand consistency and copy</w:t>
      </w:r>
    </w:p>
    <w:p>
      <w:r>
        <w:rPr>
          <w:b/>
          <w:color w:val="41702C"/>
        </w:rPr>
        <w:t xml:space="preserve">Finding: </w:t>
      </w:r>
      <w:r>
        <w:t>The core tone is right, but “kind/kindness” and several proof points are repeated too often.</w:t>
      </w:r>
    </w:p>
    <w:p>
      <w:r>
        <w:rPr>
          <w:b/>
          <w:color w:val="41702C"/>
        </w:rPr>
        <w:t xml:space="preserve">Missing: </w:t>
      </w:r>
      <w:r>
        <w:t>A wider vocabulary: imaginative, beautifully staged, interactive, theatrical, gentle, memorable, professionally performed.</w:t>
      </w:r>
    </w:p>
    <w:p>
      <w:r>
        <w:rPr>
          <w:b/>
          <w:color w:val="41702C"/>
        </w:rPr>
        <w:t xml:space="preserve">Recommendation: </w:t>
      </w:r>
      <w:r>
        <w:t>Reduce repetition and replace claim-heavy copy with concrete proof. Keep the identity as live fairy-tale theater, not generic entertainment or “puppet theater.”</w:t>
      </w:r>
    </w:p>
    <w:p>
      <w:pPr>
        <w:pStyle w:val="Heading1"/>
      </w:pPr>
      <w:r>
        <w:t>5. Recommended Home page structure</w:t>
      </w:r>
    </w:p>
    <w:p>
      <w:pPr>
        <w:pStyle w:val="ListNumber"/>
        <w:spacing w:after="60"/>
      </w:pPr>
      <w:r>
        <w:t>Hero: strong real image, “Live theater that comes to you,” concise offer, location, price anchor, and two clear CTAs.</w:t>
      </w:r>
    </w:p>
    <w:p>
      <w:pPr>
        <w:pStyle w:val="ListNumber"/>
        <w:spacing w:after="60"/>
      </w:pPr>
      <w:r>
        <w:t>Trust strip: 30+ years, professional troupe, live actors, ages served, mobile setup.</w:t>
      </w:r>
    </w:p>
    <w:p>
      <w:pPr>
        <w:pStyle w:val="ListNumber"/>
        <w:spacing w:after="60"/>
      </w:pPr>
      <w:r>
        <w:t>Format explainer: story performance + interactive finale + total duration.</w:t>
      </w:r>
    </w:p>
    <w:p>
      <w:pPr>
        <w:pStyle w:val="ListNumber"/>
        <w:spacing w:after="60"/>
      </w:pPr>
      <w:r>
        <w:t>Two audience paths: schools/preschools and birthdays/families.</w:t>
      </w:r>
    </w:p>
    <w:p>
      <w:pPr>
        <w:pStyle w:val="ListNumber"/>
        <w:spacing w:after="60"/>
      </w:pPr>
      <w:r>
        <w:t>Featured shows: 3–4 strongest entries, not all eight at once.</w:t>
      </w:r>
    </w:p>
    <w:p>
      <w:pPr>
        <w:pStyle w:val="ListNumber"/>
        <w:spacing w:after="60"/>
      </w:pPr>
      <w:r>
        <w:t>Flagship video: “See the theater in action.”</w:t>
      </w:r>
    </w:p>
    <w:p>
      <w:pPr>
        <w:pStyle w:val="ListNumber"/>
        <w:spacing w:after="60"/>
      </w:pPr>
      <w:r>
        <w:t>Why families and schools choose Miss Lana: concrete proof, not generic adjectives.</w:t>
      </w:r>
    </w:p>
    <w:p>
      <w:pPr>
        <w:pStyle w:val="ListNumber"/>
        <w:spacing w:after="60"/>
      </w:pPr>
      <w:r>
        <w:t>Verified testimonials.</w:t>
      </w:r>
    </w:p>
    <w:p>
      <w:pPr>
        <w:pStyle w:val="ListNumber"/>
        <w:spacing w:after="60"/>
      </w:pPr>
      <w:r>
        <w:t>Meet the troupe preview.</w:t>
      </w:r>
    </w:p>
    <w:p>
      <w:pPr>
        <w:pStyle w:val="ListNumber"/>
        <w:spacing w:after="60"/>
      </w:pPr>
      <w:r>
        <w:t>How it works: inquire, select, host the performance.</w:t>
      </w:r>
    </w:p>
    <w:p>
      <w:pPr>
        <w:pStyle w:val="ListNumber"/>
        <w:spacing w:after="60"/>
      </w:pPr>
      <w:r>
        <w:t>Service area and starting price.</w:t>
      </w:r>
    </w:p>
    <w:p>
      <w:pPr>
        <w:pStyle w:val="ListNumber"/>
        <w:spacing w:after="60"/>
      </w:pPr>
      <w:r>
        <w:t>Final booking form and contact options.</w:t>
      </w:r>
    </w:p>
    <w:p>
      <w:pPr>
        <w:pStyle w:val="Heading1"/>
      </w:pPr>
      <w:r>
        <w:t>6. Priority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41702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6192"/>
            <w:shd w:fill="41702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2016"/>
            <w:shd w:fill="41702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BLOCKER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Working inquiry form, contact routing, removal of technical copy, accurate facts, mobile usability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Before any paid traffic</w:t>
            </w:r>
          </w:p>
        </w:tc>
      </w:tr>
      <w:tr>
        <w:tc>
          <w:tcPr>
            <w:tcW w:type="dxa" w:w="1440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HIGH</w:t>
            </w:r>
          </w:p>
        </w:tc>
        <w:tc>
          <w:tcPr>
            <w:tcW w:type="dxa" w:w="6192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Real photos/video, offer clarity, school/birthday pages, reviews, FAQ, policies, GBP</w:t>
            </w:r>
          </w:p>
        </w:tc>
        <w:tc>
          <w:tcPr>
            <w:tcW w:type="dxa" w:w="2016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Before public launch campaign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MEDIUM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Eight show pages, team bios, schema, Search Console, redirect mapping, performance optimization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Launch package</w:t>
            </w:r>
          </w:p>
        </w:tc>
      </w:tr>
      <w:tr>
        <w:tc>
          <w:tcPr>
            <w:tcW w:type="dxa" w:w="1440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LATER</w:t>
            </w:r>
          </w:p>
        </w:tc>
        <w:tc>
          <w:tcPr>
            <w:tcW w:type="dxa" w:w="6192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City landing pages, blog, advanced CRM, online payment, large illustration system, extensive automation</w:t>
            </w:r>
          </w:p>
        </w:tc>
        <w:tc>
          <w:tcPr>
            <w:tcW w:type="dxa" w:w="2016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After data and demand</w:t>
            </w:r>
          </w:p>
        </w:tc>
      </w:tr>
    </w:tbl>
    <w:p>
      <w:pPr>
        <w:spacing w:after="0"/>
      </w:pPr>
    </w:p>
    <w:p>
      <w:pPr>
        <w:pStyle w:val="Heading1"/>
      </w:pPr>
      <w:r>
        <w:t>7. What should not be done now</w:t>
      </w:r>
    </w:p>
    <w:p>
      <w:pPr>
        <w:pStyle w:val="ListBullet"/>
        <w:spacing w:after="40"/>
      </w:pPr>
      <w:r>
        <w:t>Do not rebuild the brand concept or split the four service lines into separate websites.</w:t>
      </w:r>
    </w:p>
    <w:p>
      <w:pPr>
        <w:pStyle w:val="ListBullet"/>
        <w:spacing w:after="40"/>
      </w:pPr>
      <w:r>
        <w:t>Do not launch broad paid advertising before the form, analytics, trust, and response process work reliably.</w:t>
      </w:r>
    </w:p>
    <w:p>
      <w:pPr>
        <w:pStyle w:val="ListBullet"/>
        <w:spacing w:after="40"/>
      </w:pPr>
      <w:r>
        <w:t>Do not publish invented travel fees, safety claims, documents, or add-ons.</w:t>
      </w:r>
    </w:p>
    <w:p>
      <w:pPr>
        <w:pStyle w:val="ListBullet"/>
        <w:spacing w:after="40"/>
      </w:pPr>
      <w:r>
        <w:t>Do not build a complex calculator, customer account, or online-payment system for the first launch.</w:t>
      </w:r>
    </w:p>
    <w:p>
      <w:pPr>
        <w:pStyle w:val="ListBullet"/>
        <w:spacing w:after="40"/>
      </w:pPr>
      <w:r>
        <w:t>Do not create many thin city pages before real Search Console data exists.</w:t>
      </w:r>
    </w:p>
    <w:p>
      <w:pPr>
        <w:pStyle w:val="ListBullet"/>
        <w:spacing w:after="40"/>
      </w:pPr>
      <w:r>
        <w:t>Do not let illustrations dominate real performance photography.</w:t>
      </w:r>
    </w:p>
    <w:p>
      <w:pPr>
        <w:pStyle w:val="ListBullet"/>
        <w:spacing w:after="40"/>
      </w:pPr>
      <w:r>
        <w:t>Do not finalize expensive logo, print, or merchandise work before trademark clearance.</w:t>
      </w:r>
    </w:p>
    <w:p>
      <w:pPr>
        <w:pStyle w:val="Heading1"/>
      </w:pPr>
      <w:r>
        <w:t>8. Final audit conclusion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94"/>
            <w:shd w:fill="F2F7EE"/>
            <w:tcBorders>
              <w:top w:val="single" w:sz="12" w:color="41702C"/>
              <w:left w:val="single" w:sz="4" w:color="E8DEC9"/>
              <w:bottom w:val="single" w:sz="4" w:color="E8DEC9"/>
              <w:right w:val="single" w:sz="4" w:color="E8DEC9"/>
            </w:tcBorders>
          </w:tcPr>
          <w:p>
            <w:pPr>
              <w:spacing w:after="0"/>
            </w:pPr>
            <w:r>
              <w:rPr>
                <w:b/>
                <w:color w:val="41702C"/>
              </w:rPr>
              <w:t>Strategic direction</w:t>
              <w:br/>
            </w:r>
            <w:r>
              <w:rPr>
                <w:color w:val="29481D"/>
                <w:sz w:val="22"/>
              </w:rPr>
              <w:t>The website does not need a new concept. It needs a disciplined conversion and trust layer. The winning market position is premium, professional live fairy-tale theater that comes to the customer — warmer and more theatrical than a generic entertainer, but clearer and more operationally reliable than a decorative theater portfolio.</w:t>
            </w:r>
          </w:p>
        </w:tc>
      </w:tr>
    </w:tbl>
    <w:p>
      <w:pPr>
        <w:pStyle w:val="Heading1"/>
      </w:pPr>
      <w:r>
        <w:t>Project sources used</w:t>
      </w:r>
    </w:p>
    <w:p>
      <w:r>
        <w:rPr>
          <w:b/>
        </w:rPr>
        <w:t xml:space="preserve">The document was prepared from: </w:t>
      </w:r>
      <w:r>
        <w:t>BRAND.md, PROJECT_BRIEF.md, 01_CONTENT_INVENTORY.md, 02_POSITIONING_AND_TONE.md, 03_SITEMAP_AND_SCOPE.md, 04_SEO.md, DESIGN_SYSTEM.md, SITE_STRUCTURE_AND_BLOCKS.md, the design-system research report, and the live-site audit of misslanatheater.com.</w:t>
      </w:r>
    </w:p>
    <w:p>
      <w:r>
        <w:rPr>
          <w:b/>
        </w:rPr>
        <w:t xml:space="preserve">Canon rule: </w:t>
      </w:r>
      <w:r>
        <w:t>When this document conflicts with an updated core project file, the newest explicitly locked core file takes precedence.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85F54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41702C"/>
        <w:sz w:val="16"/>
      </w:rPr>
      <w:t>MISS LANA'S FAIRY-TALE THEATER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A25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9481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170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E6B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9481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b w:val="0"/>
      <w:i/>
      <w:iCs/>
      <w:color w:val="685F5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 w:line="276" w:lineRule="auto"/>
      <w:ind w:left="360" w:right="360"/>
    </w:pPr>
    <w:rPr>
      <w:rFonts w:ascii="Aptos" w:hAnsi="Aptos"/>
      <w:color w:val="29481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